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F0511" w14:textId="740AFB83" w:rsidR="009E3180" w:rsidRDefault="009E3180" w:rsidP="009E3180">
      <w:pPr>
        <w:jc w:val="center"/>
        <w:rPr>
          <w:rFonts w:ascii="黑体" w:eastAsia="黑体" w:hAnsi="黑体" w:cs="黑体" w:hint="eastAsia"/>
        </w:rPr>
      </w:pPr>
      <w:r w:rsidRPr="009E3180">
        <w:rPr>
          <w:rFonts w:ascii="黑体" w:eastAsia="黑体" w:hAnsi="黑体" w:cs="黑体" w:hint="eastAsia"/>
          <w:sz w:val="30"/>
          <w:szCs w:val="30"/>
        </w:rPr>
        <w:t>公众回复意见及采纳情况表</w:t>
      </w:r>
    </w:p>
    <w:tbl>
      <w:tblPr>
        <w:tblStyle w:val="a5"/>
        <w:tblW w:w="13887" w:type="dxa"/>
        <w:tblLook w:val="04A0" w:firstRow="1" w:lastRow="0" w:firstColumn="1" w:lastColumn="0" w:noHBand="0" w:noVBand="1"/>
      </w:tblPr>
      <w:tblGrid>
        <w:gridCol w:w="846"/>
        <w:gridCol w:w="5670"/>
        <w:gridCol w:w="1417"/>
        <w:gridCol w:w="5954"/>
      </w:tblGrid>
      <w:tr w:rsidR="008A4AA3" w:rsidRPr="00CE6BED" w14:paraId="63B4E4C8" w14:textId="77777777" w:rsidTr="008A4AA3">
        <w:tc>
          <w:tcPr>
            <w:tcW w:w="846" w:type="dxa"/>
          </w:tcPr>
          <w:p w14:paraId="18E69992" w14:textId="243BDD6B" w:rsidR="00CE6BED" w:rsidRPr="00CE6BED" w:rsidRDefault="00CE6BED" w:rsidP="00CE6BED">
            <w:pPr>
              <w:jc w:val="center"/>
              <w:rPr>
                <w:rFonts w:hint="eastAsia"/>
                <w:b/>
                <w:bCs/>
              </w:rPr>
            </w:pPr>
            <w:r w:rsidRPr="00CE6BED">
              <w:rPr>
                <w:rFonts w:hint="eastAsia"/>
                <w:b/>
                <w:bCs/>
              </w:rPr>
              <w:t>序号</w:t>
            </w:r>
          </w:p>
        </w:tc>
        <w:tc>
          <w:tcPr>
            <w:tcW w:w="5670" w:type="dxa"/>
          </w:tcPr>
          <w:p w14:paraId="619E44B6" w14:textId="1A230713" w:rsidR="00CE6BED" w:rsidRPr="00CE6BED" w:rsidRDefault="00CE6BED" w:rsidP="00CE6BED">
            <w:pPr>
              <w:jc w:val="center"/>
              <w:rPr>
                <w:rFonts w:hint="eastAsia"/>
                <w:b/>
                <w:bCs/>
              </w:rPr>
            </w:pPr>
            <w:r w:rsidRPr="00CE6BED">
              <w:rPr>
                <w:rFonts w:hint="eastAsia"/>
                <w:b/>
                <w:bCs/>
              </w:rPr>
              <w:t>意见</w:t>
            </w:r>
          </w:p>
        </w:tc>
        <w:tc>
          <w:tcPr>
            <w:tcW w:w="1417" w:type="dxa"/>
          </w:tcPr>
          <w:p w14:paraId="0FBEEFAF" w14:textId="4CD33280" w:rsidR="00CE6BED" w:rsidRPr="00CE6BED" w:rsidRDefault="00CE6BED" w:rsidP="00CE6BED">
            <w:pPr>
              <w:jc w:val="center"/>
              <w:rPr>
                <w:rFonts w:hint="eastAsia"/>
                <w:b/>
                <w:bCs/>
              </w:rPr>
            </w:pPr>
            <w:r w:rsidRPr="00CE6BED">
              <w:rPr>
                <w:rFonts w:hint="eastAsia"/>
                <w:b/>
                <w:bCs/>
              </w:rPr>
              <w:t>采纳情况</w:t>
            </w:r>
          </w:p>
        </w:tc>
        <w:tc>
          <w:tcPr>
            <w:tcW w:w="5954" w:type="dxa"/>
          </w:tcPr>
          <w:p w14:paraId="2AFDBFD4" w14:textId="5D454718" w:rsidR="00CE6BED" w:rsidRPr="00CE6BED" w:rsidRDefault="00CE6BED" w:rsidP="00CE6BED">
            <w:pPr>
              <w:jc w:val="center"/>
              <w:rPr>
                <w:rFonts w:hint="eastAsia"/>
                <w:b/>
                <w:bCs/>
              </w:rPr>
            </w:pPr>
            <w:r w:rsidRPr="00CE6BED">
              <w:rPr>
                <w:rFonts w:hint="eastAsia"/>
                <w:b/>
                <w:bCs/>
              </w:rPr>
              <w:t>未采纳理由/采纳情况说明</w:t>
            </w:r>
          </w:p>
        </w:tc>
      </w:tr>
      <w:tr w:rsidR="00DB4D94" w:rsidRPr="00366EE8" w14:paraId="3C281921" w14:textId="77777777" w:rsidTr="008A4AA3">
        <w:tc>
          <w:tcPr>
            <w:tcW w:w="846" w:type="dxa"/>
            <w:vMerge w:val="restart"/>
            <w:vAlign w:val="center"/>
          </w:tcPr>
          <w:p w14:paraId="2DB9B269" w14:textId="4BAF2025" w:rsidR="00DB4D94" w:rsidRPr="00366EE8" w:rsidRDefault="00DB4D94">
            <w:pPr>
              <w:rPr>
                <w:rFonts w:ascii="宋体" w:eastAsia="宋体" w:hAnsi="宋体" w:hint="eastAsia"/>
              </w:rPr>
            </w:pPr>
            <w:r w:rsidRPr="00366EE8">
              <w:rPr>
                <w:rFonts w:ascii="宋体" w:eastAsia="宋体" w:hAnsi="宋体" w:hint="eastAsia"/>
              </w:rPr>
              <w:t>海棠区群众意见1</w:t>
            </w:r>
          </w:p>
        </w:tc>
        <w:tc>
          <w:tcPr>
            <w:tcW w:w="5670" w:type="dxa"/>
          </w:tcPr>
          <w:p w14:paraId="47FE333F" w14:textId="06285895" w:rsidR="00DB4D94" w:rsidRPr="00366EE8" w:rsidRDefault="00DB4D94">
            <w:pPr>
              <w:rPr>
                <w:rFonts w:ascii="宋体" w:eastAsia="宋体" w:hAnsi="宋体" w:hint="eastAsia"/>
              </w:rPr>
            </w:pPr>
            <w:r w:rsidRPr="00366EE8">
              <w:rPr>
                <w:rFonts w:ascii="宋体" w:eastAsia="宋体" w:hAnsi="宋体" w:hint="eastAsia"/>
              </w:rPr>
              <w:t>第六条【土地征收成片开发】</w:t>
            </w:r>
            <w:r w:rsidRPr="00366EE8">
              <w:rPr>
                <w:rFonts w:ascii="宋体" w:eastAsia="宋体" w:hAnsi="宋体" w:hint="eastAsia"/>
              </w:rPr>
              <w:t>中规定土地成片开发由“</w:t>
            </w:r>
            <w:r w:rsidRPr="00366EE8">
              <w:rPr>
                <w:rFonts w:ascii="宋体" w:eastAsia="宋体" w:hAnsi="宋体" w:hint="eastAsia"/>
              </w:rPr>
              <w:t>市自然资源规划主管部门组织编制土地征收成片开发方案</w:t>
            </w:r>
            <w:r w:rsidRPr="00366EE8">
              <w:rPr>
                <w:rFonts w:ascii="宋体" w:eastAsia="宋体" w:hAnsi="宋体" w:hint="eastAsia"/>
              </w:rPr>
              <w:t>”，根据</w:t>
            </w:r>
            <w:r w:rsidRPr="00366EE8">
              <w:rPr>
                <w:rFonts w:ascii="宋体" w:eastAsia="宋体" w:hAnsi="宋体" w:hint="eastAsia"/>
              </w:rPr>
              <w:t>自然资</w:t>
            </w:r>
            <w:proofErr w:type="gramStart"/>
            <w:r w:rsidRPr="00366EE8">
              <w:rPr>
                <w:rFonts w:ascii="宋体" w:eastAsia="宋体" w:hAnsi="宋体" w:hint="eastAsia"/>
              </w:rPr>
              <w:t>规</w:t>
            </w:r>
            <w:proofErr w:type="gramEnd"/>
            <w:r w:rsidRPr="00366EE8">
              <w:rPr>
                <w:rFonts w:ascii="宋体" w:eastAsia="宋体" w:hAnsi="宋体" w:hint="eastAsia"/>
              </w:rPr>
              <w:t>〔2020〕5号规定成片开发方案是县级以上人民政府组织编制开发方案，目前三亚也都是由各区政府组织实施征收，各区政府制定征收补偿方案，市资</w:t>
            </w:r>
            <w:proofErr w:type="gramStart"/>
            <w:r w:rsidRPr="00366EE8">
              <w:rPr>
                <w:rFonts w:ascii="宋体" w:eastAsia="宋体" w:hAnsi="宋体" w:hint="eastAsia"/>
              </w:rPr>
              <w:t>规</w:t>
            </w:r>
            <w:r w:rsidRPr="00366EE8">
              <w:rPr>
                <w:rFonts w:ascii="宋体" w:eastAsia="宋体" w:hAnsi="宋体" w:hint="eastAsia"/>
              </w:rPr>
              <w:t>局基本</w:t>
            </w:r>
            <w:proofErr w:type="gramEnd"/>
            <w:r w:rsidRPr="00366EE8">
              <w:rPr>
                <w:rFonts w:ascii="宋体" w:eastAsia="宋体" w:hAnsi="宋体" w:hint="eastAsia"/>
              </w:rPr>
              <w:t>不参与方案的制定，该条款中规定由市资</w:t>
            </w:r>
            <w:proofErr w:type="gramStart"/>
            <w:r w:rsidRPr="00366EE8">
              <w:rPr>
                <w:rFonts w:ascii="宋体" w:eastAsia="宋体" w:hAnsi="宋体" w:hint="eastAsia"/>
              </w:rPr>
              <w:t>规</w:t>
            </w:r>
            <w:proofErr w:type="gramEnd"/>
            <w:r w:rsidRPr="00366EE8">
              <w:rPr>
                <w:rFonts w:ascii="宋体" w:eastAsia="宋体" w:hAnsi="宋体" w:hint="eastAsia"/>
              </w:rPr>
              <w:t>组织编制方案，有可能会导致实施操作不了，该条规定由市资</w:t>
            </w:r>
            <w:proofErr w:type="gramStart"/>
            <w:r w:rsidRPr="00366EE8">
              <w:rPr>
                <w:rFonts w:ascii="宋体" w:eastAsia="宋体" w:hAnsi="宋体" w:hint="eastAsia"/>
              </w:rPr>
              <w:t>规</w:t>
            </w:r>
            <w:proofErr w:type="gramEnd"/>
            <w:r w:rsidRPr="00366EE8">
              <w:rPr>
                <w:rFonts w:ascii="宋体" w:eastAsia="宋体" w:hAnsi="宋体" w:hint="eastAsia"/>
              </w:rPr>
              <w:t>局</w:t>
            </w:r>
            <w:r w:rsidRPr="00366EE8">
              <w:rPr>
                <w:rFonts w:ascii="宋体" w:eastAsia="宋体" w:hAnsi="宋体" w:hint="eastAsia"/>
              </w:rPr>
              <w:t>编制方案，但实际操作</w:t>
            </w:r>
            <w:proofErr w:type="gramStart"/>
            <w:r w:rsidRPr="00366EE8">
              <w:rPr>
                <w:rFonts w:ascii="宋体" w:eastAsia="宋体" w:hAnsi="宋体" w:hint="eastAsia"/>
              </w:rPr>
              <w:t>又是区</w:t>
            </w:r>
            <w:proofErr w:type="gramEnd"/>
            <w:r w:rsidRPr="00366EE8">
              <w:rPr>
                <w:rFonts w:ascii="宋体" w:eastAsia="宋体" w:hAnsi="宋体" w:hint="eastAsia"/>
              </w:rPr>
              <w:t>政府拟定发布，可能会涉及到违反上述规定和程序，建议进行调整。</w:t>
            </w:r>
          </w:p>
        </w:tc>
        <w:tc>
          <w:tcPr>
            <w:tcW w:w="1417" w:type="dxa"/>
            <w:vAlign w:val="center"/>
          </w:tcPr>
          <w:p w14:paraId="7E00CE33" w14:textId="3DED3353" w:rsidR="00DB4D94" w:rsidRPr="00366EE8" w:rsidRDefault="00DB4D94" w:rsidP="00366EE8">
            <w:pPr>
              <w:jc w:val="center"/>
              <w:rPr>
                <w:rFonts w:ascii="宋体" w:eastAsia="宋体" w:hAnsi="宋体" w:hint="eastAsia"/>
              </w:rPr>
            </w:pPr>
            <w:r w:rsidRPr="00366EE8">
              <w:rPr>
                <w:rFonts w:ascii="宋体" w:eastAsia="宋体" w:hAnsi="宋体" w:hint="eastAsia"/>
              </w:rPr>
              <w:t>不采纳</w:t>
            </w:r>
          </w:p>
        </w:tc>
        <w:tc>
          <w:tcPr>
            <w:tcW w:w="5954" w:type="dxa"/>
            <w:vAlign w:val="center"/>
          </w:tcPr>
          <w:p w14:paraId="7FF38451" w14:textId="7619C7D6" w:rsidR="00DB4D94" w:rsidRPr="00366EE8" w:rsidRDefault="00DB4D94">
            <w:pPr>
              <w:rPr>
                <w:rFonts w:ascii="宋体" w:eastAsia="宋体" w:hAnsi="宋体" w:hint="eastAsia"/>
              </w:rPr>
            </w:pPr>
            <w:r w:rsidRPr="00366EE8">
              <w:rPr>
                <w:rFonts w:ascii="宋体" w:eastAsia="宋体" w:hAnsi="宋体" w:hint="eastAsia"/>
              </w:rPr>
              <w:t>根据相关</w:t>
            </w:r>
            <w:r w:rsidRPr="00366EE8">
              <w:rPr>
                <w:rFonts w:ascii="宋体" w:eastAsia="宋体" w:hAnsi="宋体" w:hint="eastAsia"/>
              </w:rPr>
              <w:t>文件</w:t>
            </w:r>
            <w:r w:rsidRPr="00366EE8">
              <w:rPr>
                <w:rFonts w:ascii="宋体" w:eastAsia="宋体" w:hAnsi="宋体" w:hint="eastAsia"/>
              </w:rPr>
              <w:t>规定，</w:t>
            </w:r>
            <w:r w:rsidRPr="00366EE8">
              <w:rPr>
                <w:rFonts w:ascii="宋体" w:eastAsia="宋体" w:hAnsi="宋体" w:hint="eastAsia"/>
              </w:rPr>
              <w:t>是</w:t>
            </w:r>
            <w:r w:rsidRPr="00366EE8">
              <w:rPr>
                <w:rFonts w:ascii="宋体" w:eastAsia="宋体" w:hAnsi="宋体" w:hint="eastAsia"/>
              </w:rPr>
              <w:t>土地成片</w:t>
            </w:r>
            <w:r w:rsidRPr="00366EE8">
              <w:rPr>
                <w:rFonts w:ascii="宋体" w:eastAsia="宋体" w:hAnsi="宋体" w:hint="eastAsia"/>
              </w:rPr>
              <w:t>开发</w:t>
            </w:r>
            <w:r w:rsidRPr="00366EE8">
              <w:rPr>
                <w:rFonts w:ascii="宋体" w:eastAsia="宋体" w:hAnsi="宋体" w:hint="eastAsia"/>
              </w:rPr>
              <w:t>的编制</w:t>
            </w:r>
            <w:r w:rsidRPr="00366EE8">
              <w:rPr>
                <w:rFonts w:ascii="宋体" w:eastAsia="宋体" w:hAnsi="宋体" w:hint="eastAsia"/>
              </w:rPr>
              <w:t>方案权利下放委托，从省政府下放委托到三亚市人民政府。</w:t>
            </w:r>
            <w:r w:rsidRPr="00366EE8">
              <w:rPr>
                <w:rFonts w:ascii="宋体" w:eastAsia="宋体" w:hAnsi="宋体" w:hint="eastAsia"/>
              </w:rPr>
              <w:t>三亚市人民政府可以委托下面的职能部门编制，目前</w:t>
            </w:r>
            <w:r w:rsidR="00EF355B">
              <w:rPr>
                <w:rFonts w:ascii="宋体" w:eastAsia="宋体" w:hAnsi="宋体" w:hint="eastAsia"/>
              </w:rPr>
              <w:t>是由市政府</w:t>
            </w:r>
            <w:r w:rsidRPr="00366EE8">
              <w:rPr>
                <w:rFonts w:ascii="宋体" w:eastAsia="宋体" w:hAnsi="宋体" w:hint="eastAsia"/>
              </w:rPr>
              <w:t>委托市资</w:t>
            </w:r>
            <w:proofErr w:type="gramStart"/>
            <w:r w:rsidRPr="00366EE8">
              <w:rPr>
                <w:rFonts w:ascii="宋体" w:eastAsia="宋体" w:hAnsi="宋体" w:hint="eastAsia"/>
              </w:rPr>
              <w:t>规</w:t>
            </w:r>
            <w:proofErr w:type="gramEnd"/>
            <w:r w:rsidRPr="00366EE8">
              <w:rPr>
                <w:rFonts w:ascii="宋体" w:eastAsia="宋体" w:hAnsi="宋体" w:hint="eastAsia"/>
              </w:rPr>
              <w:t>局实施操作</w:t>
            </w:r>
            <w:r w:rsidRPr="00366EE8">
              <w:rPr>
                <w:rFonts w:ascii="宋体" w:eastAsia="宋体" w:hAnsi="宋体" w:hint="eastAsia"/>
              </w:rPr>
              <w:t>。</w:t>
            </w:r>
          </w:p>
        </w:tc>
      </w:tr>
      <w:tr w:rsidR="00DB4D94" w:rsidRPr="00366EE8" w14:paraId="1EE0228E" w14:textId="77777777" w:rsidTr="008A4AA3">
        <w:tc>
          <w:tcPr>
            <w:tcW w:w="846" w:type="dxa"/>
            <w:vMerge/>
          </w:tcPr>
          <w:p w14:paraId="6958CAA5" w14:textId="1BC824E5" w:rsidR="00DB4D94" w:rsidRPr="00366EE8" w:rsidRDefault="00DB4D94">
            <w:pPr>
              <w:rPr>
                <w:rFonts w:ascii="宋体" w:eastAsia="宋体" w:hAnsi="宋体" w:hint="eastAsia"/>
              </w:rPr>
            </w:pPr>
          </w:p>
        </w:tc>
        <w:tc>
          <w:tcPr>
            <w:tcW w:w="5670" w:type="dxa"/>
            <w:vAlign w:val="center"/>
          </w:tcPr>
          <w:p w14:paraId="0E631CF9" w14:textId="62F32559" w:rsidR="00DB4D94" w:rsidRPr="00366EE8" w:rsidRDefault="00DB4D94">
            <w:pPr>
              <w:rPr>
                <w:rFonts w:ascii="宋体" w:eastAsia="宋体" w:hAnsi="宋体" w:hint="eastAsia"/>
                <w:szCs w:val="21"/>
              </w:rPr>
            </w:pPr>
            <w:r w:rsidRPr="00366EE8">
              <w:rPr>
                <w:rFonts w:ascii="宋体" w:eastAsia="宋体" w:hAnsi="宋体" w:cs="Times New Roman"/>
                <w:color w:val="000000" w:themeColor="text1"/>
                <w:szCs w:val="21"/>
              </w:rPr>
              <w:t>第十条【预公告及暂停行为】</w:t>
            </w:r>
            <w:r w:rsidRPr="00366EE8">
              <w:rPr>
                <w:rFonts w:ascii="宋体" w:eastAsia="宋体" w:hAnsi="宋体" w:cs="Times New Roman" w:hint="eastAsia"/>
                <w:color w:val="000000" w:themeColor="text1"/>
                <w:szCs w:val="21"/>
              </w:rPr>
              <w:t>中预公告发布之后的暂停行为期限3年，是否过长，建议修改为1年。</w:t>
            </w:r>
          </w:p>
        </w:tc>
        <w:tc>
          <w:tcPr>
            <w:tcW w:w="1417" w:type="dxa"/>
            <w:vAlign w:val="center"/>
          </w:tcPr>
          <w:p w14:paraId="0B5B27B2" w14:textId="6C4865E9" w:rsidR="00DB4D94" w:rsidRPr="00366EE8" w:rsidRDefault="00DB4D94" w:rsidP="00366EE8">
            <w:pPr>
              <w:jc w:val="center"/>
              <w:rPr>
                <w:rFonts w:ascii="宋体" w:eastAsia="宋体" w:hAnsi="宋体" w:hint="eastAsia"/>
              </w:rPr>
            </w:pPr>
            <w:r w:rsidRPr="00366EE8">
              <w:rPr>
                <w:rFonts w:ascii="宋体" w:eastAsia="宋体" w:hAnsi="宋体" w:hint="eastAsia"/>
              </w:rPr>
              <w:t>部分采纳</w:t>
            </w:r>
          </w:p>
        </w:tc>
        <w:tc>
          <w:tcPr>
            <w:tcW w:w="5954" w:type="dxa"/>
          </w:tcPr>
          <w:p w14:paraId="5219AB60" w14:textId="77777777" w:rsidR="00DB4D94" w:rsidRDefault="00DB4D94" w:rsidP="00AC5DFA">
            <w:pPr>
              <w:rPr>
                <w:rFonts w:ascii="宋体" w:eastAsia="宋体" w:hAnsi="宋体"/>
              </w:rPr>
            </w:pPr>
            <w:r>
              <w:rPr>
                <w:rFonts w:ascii="宋体" w:eastAsia="宋体" w:hAnsi="宋体" w:hint="eastAsia"/>
              </w:rPr>
              <w:t>修改为2年。</w:t>
            </w:r>
          </w:p>
          <w:p w14:paraId="430E83B9" w14:textId="2926B908" w:rsidR="00DB4D94" w:rsidRPr="00366EE8" w:rsidRDefault="00DB4D94" w:rsidP="00AC5DFA">
            <w:pPr>
              <w:rPr>
                <w:rFonts w:ascii="宋体" w:eastAsia="宋体" w:hAnsi="宋体" w:hint="eastAsia"/>
              </w:rPr>
            </w:pPr>
            <w:r>
              <w:rPr>
                <w:rFonts w:ascii="宋体" w:eastAsia="宋体" w:hAnsi="宋体" w:hint="eastAsia"/>
              </w:rPr>
              <w:t>理由：</w:t>
            </w:r>
            <w:r w:rsidRPr="00AC5DFA">
              <w:rPr>
                <w:rFonts w:ascii="宋体" w:eastAsia="宋体" w:hAnsi="宋体" w:hint="eastAsia"/>
              </w:rPr>
              <w:t>我们征求各区政府、征收单位的意见，经反复论证，结合三亚的实际情况，讨论结果是2年时间比较合适。按照政府管理的实际操作，2年内基本可以完成。</w:t>
            </w:r>
          </w:p>
        </w:tc>
      </w:tr>
      <w:tr w:rsidR="00DB4D94" w:rsidRPr="00366EE8" w14:paraId="69F98F8B" w14:textId="77777777" w:rsidTr="008A4AA3">
        <w:tc>
          <w:tcPr>
            <w:tcW w:w="846" w:type="dxa"/>
            <w:vMerge/>
          </w:tcPr>
          <w:p w14:paraId="179A6CF7" w14:textId="77777777" w:rsidR="00DB4D94" w:rsidRPr="00366EE8" w:rsidRDefault="00DB4D94">
            <w:pPr>
              <w:rPr>
                <w:rFonts w:ascii="宋体" w:eastAsia="宋体" w:hAnsi="宋体" w:hint="eastAsia"/>
              </w:rPr>
            </w:pPr>
          </w:p>
        </w:tc>
        <w:tc>
          <w:tcPr>
            <w:tcW w:w="5670" w:type="dxa"/>
          </w:tcPr>
          <w:p w14:paraId="1A530F3B" w14:textId="490E2521" w:rsidR="00DB4D94" w:rsidRPr="00366EE8" w:rsidRDefault="00DB4D94">
            <w:pPr>
              <w:rPr>
                <w:rFonts w:ascii="宋体" w:eastAsia="宋体" w:hAnsi="宋体" w:hint="eastAsia"/>
              </w:rPr>
            </w:pPr>
            <w:r w:rsidRPr="00B964F0">
              <w:rPr>
                <w:rFonts w:ascii="宋体" w:eastAsia="宋体" w:hAnsi="宋体" w:hint="eastAsia"/>
              </w:rPr>
              <w:t>第二十八条【住宅补偿安置人员确定】</w:t>
            </w:r>
            <w:r>
              <w:rPr>
                <w:rFonts w:ascii="宋体" w:eastAsia="宋体" w:hAnsi="宋体" w:hint="eastAsia"/>
              </w:rPr>
              <w:t>安置人员划分建</w:t>
            </w:r>
            <w:r w:rsidRPr="00B964F0">
              <w:rPr>
                <w:rFonts w:ascii="宋体" w:eastAsia="宋体" w:hAnsi="宋体" w:hint="eastAsia"/>
              </w:rPr>
              <w:t>议分类为两大类：（一）具有集体经济组织成员资格的人员；（二）不具有集体经济组织成员资格的人员；然后在两大类当中细分</w:t>
            </w:r>
          </w:p>
        </w:tc>
        <w:tc>
          <w:tcPr>
            <w:tcW w:w="1417" w:type="dxa"/>
            <w:vAlign w:val="center"/>
          </w:tcPr>
          <w:p w14:paraId="7F7C198E" w14:textId="5308F4C4" w:rsidR="00DB4D94" w:rsidRPr="00366EE8" w:rsidRDefault="00DB4D94" w:rsidP="00B964F0">
            <w:pPr>
              <w:jc w:val="center"/>
              <w:rPr>
                <w:rFonts w:ascii="宋体" w:eastAsia="宋体" w:hAnsi="宋体" w:hint="eastAsia"/>
              </w:rPr>
            </w:pPr>
            <w:r>
              <w:rPr>
                <w:rFonts w:ascii="宋体" w:eastAsia="宋体" w:hAnsi="宋体" w:hint="eastAsia"/>
              </w:rPr>
              <w:t>不采纳</w:t>
            </w:r>
          </w:p>
        </w:tc>
        <w:tc>
          <w:tcPr>
            <w:tcW w:w="5954" w:type="dxa"/>
          </w:tcPr>
          <w:p w14:paraId="56ED5598" w14:textId="23383E57" w:rsidR="00DB4D94" w:rsidRPr="00366EE8" w:rsidRDefault="00DB4D94">
            <w:pPr>
              <w:rPr>
                <w:rFonts w:ascii="宋体" w:eastAsia="宋体" w:hAnsi="宋体" w:hint="eastAsia"/>
              </w:rPr>
            </w:pPr>
            <w:r>
              <w:rPr>
                <w:rFonts w:ascii="宋体" w:eastAsia="宋体" w:hAnsi="宋体" w:hint="eastAsia"/>
              </w:rPr>
              <w:t>本条内容是根据各区政府反馈的实际情况并结合三亚市住建局反馈的情况，优化完善形成的，基本包含了三亚市住宅房屋征收补偿安置人员类型，如此分类较为合理。</w:t>
            </w:r>
          </w:p>
        </w:tc>
      </w:tr>
      <w:tr w:rsidR="00141550" w:rsidRPr="00366EE8" w14:paraId="51F56C0D" w14:textId="77777777" w:rsidTr="008A4AA3">
        <w:tc>
          <w:tcPr>
            <w:tcW w:w="846" w:type="dxa"/>
            <w:vMerge w:val="restart"/>
            <w:vAlign w:val="center"/>
          </w:tcPr>
          <w:p w14:paraId="5B0BEE6C" w14:textId="77777777" w:rsidR="008A4AA3" w:rsidRDefault="008A4AA3" w:rsidP="006329DE">
            <w:pPr>
              <w:rPr>
                <w:rFonts w:ascii="宋体" w:eastAsia="宋体" w:hAnsi="宋体"/>
              </w:rPr>
            </w:pPr>
          </w:p>
          <w:p w14:paraId="25D4163A" w14:textId="77777777" w:rsidR="008A4AA3" w:rsidRPr="008A4AA3" w:rsidRDefault="008A4AA3" w:rsidP="008A4AA3">
            <w:pPr>
              <w:pStyle w:val="a0"/>
              <w:rPr>
                <w:rFonts w:hint="eastAsia"/>
              </w:rPr>
            </w:pPr>
          </w:p>
          <w:p w14:paraId="6985E1A0" w14:textId="1CD2B8E5" w:rsidR="00141550" w:rsidRDefault="00141550" w:rsidP="006329DE">
            <w:pPr>
              <w:rPr>
                <w:rFonts w:ascii="宋体" w:eastAsia="宋体" w:hAnsi="宋体"/>
              </w:rPr>
            </w:pPr>
            <w:r w:rsidRPr="00366EE8">
              <w:rPr>
                <w:rFonts w:ascii="宋体" w:eastAsia="宋体" w:hAnsi="宋体" w:hint="eastAsia"/>
              </w:rPr>
              <w:t>海棠区群众意见2</w:t>
            </w:r>
          </w:p>
          <w:p w14:paraId="032CD6B8" w14:textId="77777777" w:rsidR="008A4AA3" w:rsidRDefault="008A4AA3" w:rsidP="008A4AA3">
            <w:pPr>
              <w:pStyle w:val="a0"/>
            </w:pPr>
          </w:p>
          <w:p w14:paraId="368421A0" w14:textId="77777777" w:rsidR="008A4AA3" w:rsidRDefault="008A4AA3" w:rsidP="008A4AA3">
            <w:pPr>
              <w:pStyle w:val="a0"/>
            </w:pPr>
          </w:p>
          <w:p w14:paraId="68895F31" w14:textId="77777777" w:rsidR="008A4AA3" w:rsidRDefault="008A4AA3" w:rsidP="008A4AA3">
            <w:pPr>
              <w:pStyle w:val="a0"/>
            </w:pPr>
          </w:p>
          <w:p w14:paraId="55885228" w14:textId="77777777" w:rsidR="008A4AA3" w:rsidRDefault="008A4AA3" w:rsidP="008A4AA3">
            <w:pPr>
              <w:pStyle w:val="a0"/>
            </w:pPr>
          </w:p>
          <w:p w14:paraId="38E3592F" w14:textId="77777777" w:rsidR="008A4AA3" w:rsidRDefault="008A4AA3" w:rsidP="008A4AA3">
            <w:pPr>
              <w:pStyle w:val="a0"/>
            </w:pPr>
          </w:p>
          <w:p w14:paraId="798C5C19" w14:textId="7FB38170" w:rsidR="008A4AA3" w:rsidRPr="008A4AA3" w:rsidRDefault="008A4AA3" w:rsidP="008A4AA3">
            <w:pPr>
              <w:pStyle w:val="a0"/>
              <w:rPr>
                <w:sz w:val="21"/>
                <w:szCs w:val="21"/>
              </w:rPr>
            </w:pPr>
            <w:r w:rsidRPr="008A4AA3">
              <w:rPr>
                <w:rFonts w:ascii="宋体" w:eastAsia="宋体" w:hAnsi="宋体" w:hint="eastAsia"/>
                <w:sz w:val="21"/>
                <w:szCs w:val="21"/>
              </w:rPr>
              <w:t>海棠区群众意见2</w:t>
            </w:r>
          </w:p>
          <w:p w14:paraId="2604B3D8" w14:textId="69035A88" w:rsidR="008A4AA3" w:rsidRPr="008A4AA3" w:rsidRDefault="008A4AA3" w:rsidP="008A4AA3">
            <w:pPr>
              <w:pStyle w:val="a0"/>
              <w:rPr>
                <w:rFonts w:hint="eastAsia"/>
              </w:rPr>
            </w:pPr>
          </w:p>
        </w:tc>
        <w:tc>
          <w:tcPr>
            <w:tcW w:w="5670" w:type="dxa"/>
            <w:vAlign w:val="center"/>
          </w:tcPr>
          <w:p w14:paraId="1D7431F9" w14:textId="62656161" w:rsidR="00141550" w:rsidRPr="00366EE8" w:rsidRDefault="00141550">
            <w:pPr>
              <w:rPr>
                <w:rFonts w:ascii="宋体" w:eastAsia="宋体" w:hAnsi="宋体" w:hint="eastAsia"/>
              </w:rPr>
            </w:pPr>
            <w:r w:rsidRPr="00DB4D94">
              <w:rPr>
                <w:rFonts w:ascii="宋体" w:eastAsia="宋体" w:hAnsi="宋体" w:hint="eastAsia"/>
              </w:rPr>
              <w:lastRenderedPageBreak/>
              <w:t>第十二条</w:t>
            </w:r>
            <w:r>
              <w:rPr>
                <w:rFonts w:ascii="宋体" w:eastAsia="宋体" w:hAnsi="宋体" w:hint="eastAsia"/>
              </w:rPr>
              <w:t>第二款规定的关联不动产征收的</w:t>
            </w:r>
            <w:r w:rsidRPr="00EF355B">
              <w:rPr>
                <w:rFonts w:ascii="宋体" w:eastAsia="宋体" w:hAnsi="宋体" w:hint="eastAsia"/>
              </w:rPr>
              <w:t>具体面积、比例等数据在规范性文件中写明没有合理的论证和依据，建议删除</w:t>
            </w:r>
            <w:r>
              <w:rPr>
                <w:rFonts w:ascii="宋体" w:eastAsia="宋体" w:hAnsi="宋体" w:hint="eastAsia"/>
              </w:rPr>
              <w:t>具体数据</w:t>
            </w:r>
            <w:r>
              <w:rPr>
                <w:rFonts w:ascii="宋体" w:eastAsia="宋体" w:hAnsi="宋体" w:hint="eastAsia"/>
              </w:rPr>
              <w:t>。</w:t>
            </w:r>
            <w:r w:rsidRPr="00366EE8">
              <w:rPr>
                <w:rFonts w:ascii="宋体" w:eastAsia="宋体" w:hAnsi="宋体" w:hint="eastAsia"/>
              </w:rPr>
              <w:t xml:space="preserve"> </w:t>
            </w:r>
          </w:p>
        </w:tc>
        <w:tc>
          <w:tcPr>
            <w:tcW w:w="1417" w:type="dxa"/>
            <w:vAlign w:val="center"/>
          </w:tcPr>
          <w:p w14:paraId="0DADE265" w14:textId="6CD7BF68" w:rsidR="00141550" w:rsidRPr="00EF355B" w:rsidRDefault="00141550" w:rsidP="00EF355B">
            <w:pPr>
              <w:jc w:val="center"/>
              <w:rPr>
                <w:rFonts w:ascii="宋体" w:eastAsia="宋体" w:hAnsi="宋体" w:hint="eastAsia"/>
              </w:rPr>
            </w:pPr>
            <w:r>
              <w:rPr>
                <w:rFonts w:ascii="宋体" w:eastAsia="宋体" w:hAnsi="宋体" w:hint="eastAsia"/>
              </w:rPr>
              <w:t>采纳</w:t>
            </w:r>
          </w:p>
        </w:tc>
        <w:tc>
          <w:tcPr>
            <w:tcW w:w="5954" w:type="dxa"/>
          </w:tcPr>
          <w:p w14:paraId="66A84058" w14:textId="5B20D4D6" w:rsidR="00141550" w:rsidRPr="00EF355B" w:rsidRDefault="00141550" w:rsidP="00EF355B">
            <w:pPr>
              <w:rPr>
                <w:rFonts w:ascii="宋体" w:eastAsia="宋体" w:hAnsi="宋体" w:hint="eastAsia"/>
              </w:rPr>
            </w:pPr>
            <w:r w:rsidRPr="00EF355B">
              <w:rPr>
                <w:rFonts w:ascii="宋体" w:eastAsia="宋体" w:hAnsi="宋体" w:hint="eastAsia"/>
              </w:rPr>
              <w:t>第十二条</w:t>
            </w:r>
            <w:r>
              <w:rPr>
                <w:rFonts w:ascii="宋体" w:eastAsia="宋体" w:hAnsi="宋体" w:hint="eastAsia"/>
              </w:rPr>
              <w:t>第二款</w:t>
            </w:r>
            <w:r w:rsidRPr="00EF355B">
              <w:rPr>
                <w:rFonts w:ascii="宋体" w:eastAsia="宋体" w:hAnsi="宋体" w:hint="eastAsia"/>
              </w:rPr>
              <w:t>修改为：</w:t>
            </w:r>
          </w:p>
          <w:p w14:paraId="62D2F45D" w14:textId="67C65D04" w:rsidR="00141550" w:rsidRPr="00366EE8" w:rsidRDefault="00141550" w:rsidP="00EF355B">
            <w:pPr>
              <w:rPr>
                <w:rFonts w:ascii="宋体" w:eastAsia="宋体" w:hAnsi="宋体" w:hint="eastAsia"/>
              </w:rPr>
            </w:pPr>
            <w:r w:rsidRPr="00EF355B">
              <w:rPr>
                <w:rFonts w:ascii="宋体" w:eastAsia="宋体" w:hAnsi="宋体" w:hint="eastAsia"/>
              </w:rPr>
              <w:t>前款所述情形，根据国土空间规划和用途管制，结合被征收土地的实际情况，包括土地的性质、用途、地理位置、土地利用现状等，以及被征收人的合法权益，区人民政府确定可纳入征收范围的关联不动产面积或比例。</w:t>
            </w:r>
          </w:p>
        </w:tc>
      </w:tr>
      <w:tr w:rsidR="00141550" w:rsidRPr="00366EE8" w14:paraId="2C707519" w14:textId="77777777" w:rsidTr="008A4AA3">
        <w:tc>
          <w:tcPr>
            <w:tcW w:w="846" w:type="dxa"/>
            <w:vMerge/>
          </w:tcPr>
          <w:p w14:paraId="4F3F0783" w14:textId="16AC3F41" w:rsidR="00141550" w:rsidRPr="00366EE8" w:rsidRDefault="00141550" w:rsidP="006329DE">
            <w:pPr>
              <w:rPr>
                <w:rFonts w:ascii="宋体" w:eastAsia="宋体" w:hAnsi="宋体" w:hint="eastAsia"/>
              </w:rPr>
            </w:pPr>
          </w:p>
        </w:tc>
        <w:tc>
          <w:tcPr>
            <w:tcW w:w="5670" w:type="dxa"/>
          </w:tcPr>
          <w:p w14:paraId="50E06746" w14:textId="01D420DB" w:rsidR="00141550" w:rsidRPr="002D06FB" w:rsidRDefault="00141550" w:rsidP="002D06FB">
            <w:pPr>
              <w:rPr>
                <w:rFonts w:ascii="宋体" w:eastAsia="宋体" w:hAnsi="宋体" w:hint="eastAsia"/>
              </w:rPr>
            </w:pPr>
            <w:r w:rsidRPr="002D06FB">
              <w:rPr>
                <w:rFonts w:ascii="宋体" w:eastAsia="宋体" w:hAnsi="宋体" w:hint="eastAsia"/>
              </w:rPr>
              <w:t>第三十二条“……安置房安置的，发放至通知办理安置房交</w:t>
            </w:r>
            <w:r w:rsidRPr="002D06FB">
              <w:rPr>
                <w:rFonts w:ascii="宋体" w:eastAsia="宋体" w:hAnsi="宋体" w:hint="eastAsia"/>
              </w:rPr>
              <w:lastRenderedPageBreak/>
              <w:t>房手续之日起3个月</w:t>
            </w:r>
            <w:proofErr w:type="gramStart"/>
            <w:r w:rsidRPr="002D06FB">
              <w:rPr>
                <w:rFonts w:ascii="宋体" w:eastAsia="宋体" w:hAnsi="宋体" w:hint="eastAsia"/>
              </w:rPr>
              <w:t>止</w:t>
            </w:r>
            <w:proofErr w:type="gramEnd"/>
            <w:r w:rsidRPr="002D06FB">
              <w:rPr>
                <w:rFonts w:ascii="宋体" w:eastAsia="宋体" w:hAnsi="宋体" w:hint="eastAsia"/>
              </w:rPr>
              <w:t>……”该条不符合海棠区实际情况。与三亚市其他各区的安置房屋为毛坯房交付不同，海棠区的</w:t>
            </w:r>
            <w:proofErr w:type="gramStart"/>
            <w:r w:rsidRPr="002D06FB">
              <w:rPr>
                <w:rFonts w:ascii="宋体" w:eastAsia="宋体" w:hAnsi="宋体" w:hint="eastAsia"/>
              </w:rPr>
              <w:t>安置房均是</w:t>
            </w:r>
            <w:proofErr w:type="gramEnd"/>
            <w:r w:rsidRPr="002D06FB">
              <w:rPr>
                <w:rFonts w:ascii="宋体" w:eastAsia="宋体" w:hAnsi="宋体" w:hint="eastAsia"/>
              </w:rPr>
              <w:t>简装交付，交付即可入住，因此，无须再向安置</w:t>
            </w:r>
            <w:proofErr w:type="gramStart"/>
            <w:r w:rsidRPr="002D06FB">
              <w:rPr>
                <w:rFonts w:ascii="宋体" w:eastAsia="宋体" w:hAnsi="宋体" w:hint="eastAsia"/>
              </w:rPr>
              <w:t>户支付</w:t>
            </w:r>
            <w:proofErr w:type="gramEnd"/>
            <w:r w:rsidRPr="002D06FB">
              <w:rPr>
                <w:rFonts w:ascii="宋体" w:eastAsia="宋体" w:hAnsi="宋体" w:hint="eastAsia"/>
              </w:rPr>
              <w:t>3个月临时过渡安置费。</w:t>
            </w:r>
          </w:p>
          <w:p w14:paraId="40100FCC" w14:textId="4BE6BB9A" w:rsidR="00141550" w:rsidRPr="00366EE8" w:rsidRDefault="00141550" w:rsidP="002D06FB">
            <w:pPr>
              <w:rPr>
                <w:rFonts w:ascii="宋体" w:eastAsia="宋体" w:hAnsi="宋体" w:hint="eastAsia"/>
              </w:rPr>
            </w:pPr>
            <w:r w:rsidRPr="002D06FB">
              <w:rPr>
                <w:rFonts w:ascii="宋体" w:eastAsia="宋体" w:hAnsi="宋体" w:hint="eastAsia"/>
              </w:rPr>
              <w:t>建议修改为“……安置房安置的，若安置房为毛坯交付，则临时过渡安置费发放至通知办理安置房交房手续之日起3个月止；若安置房为简装交付，则临时过渡安置费发放至通知办理安置房交房手续当月……”</w:t>
            </w:r>
          </w:p>
        </w:tc>
        <w:tc>
          <w:tcPr>
            <w:tcW w:w="1417" w:type="dxa"/>
            <w:vAlign w:val="center"/>
          </w:tcPr>
          <w:p w14:paraId="433ACB78" w14:textId="3F7035C8" w:rsidR="00141550" w:rsidRPr="00366EE8" w:rsidRDefault="00141550" w:rsidP="002D06FB">
            <w:pPr>
              <w:jc w:val="center"/>
              <w:rPr>
                <w:rFonts w:ascii="宋体" w:eastAsia="宋体" w:hAnsi="宋体" w:hint="eastAsia"/>
              </w:rPr>
            </w:pPr>
            <w:r>
              <w:rPr>
                <w:rFonts w:ascii="宋体" w:eastAsia="宋体" w:hAnsi="宋体" w:hint="eastAsia"/>
              </w:rPr>
              <w:lastRenderedPageBreak/>
              <w:t>采纳</w:t>
            </w:r>
          </w:p>
        </w:tc>
        <w:tc>
          <w:tcPr>
            <w:tcW w:w="5954" w:type="dxa"/>
          </w:tcPr>
          <w:p w14:paraId="67BE1262" w14:textId="77777777" w:rsidR="00141550" w:rsidRDefault="00141550">
            <w:pPr>
              <w:rPr>
                <w:rFonts w:ascii="宋体" w:eastAsia="宋体" w:hAnsi="宋体"/>
              </w:rPr>
            </w:pPr>
            <w:r>
              <w:rPr>
                <w:rFonts w:ascii="宋体" w:eastAsia="宋体" w:hAnsi="宋体" w:hint="eastAsia"/>
              </w:rPr>
              <w:t>第三十二条第二款修改为：</w:t>
            </w:r>
          </w:p>
          <w:p w14:paraId="419C8393" w14:textId="35C528E1" w:rsidR="00141550" w:rsidRPr="00366EE8" w:rsidRDefault="00141550">
            <w:pPr>
              <w:rPr>
                <w:rFonts w:ascii="宋体" w:eastAsia="宋体" w:hAnsi="宋体" w:hint="eastAsia"/>
              </w:rPr>
            </w:pPr>
            <w:r w:rsidRPr="00141550">
              <w:rPr>
                <w:rFonts w:ascii="宋体" w:eastAsia="宋体" w:hAnsi="宋体" w:hint="eastAsia"/>
              </w:rPr>
              <w:lastRenderedPageBreak/>
              <w:t>临时安置补助费发放标准由各区人民政府在征收补偿安置方案中确定。临时安置补助费自安置对象签订征收补偿安置协议并腾空房屋当月起发放。安置房安置的，若安置房为毛坯交付，临时安置补助费发放至征收主管部门发布办理安置房交房手续公告之日起3个月止；若安置房为简装交付，临时安置补助费发放至征收主管部门发布办理安置房交房手续公告当月。农村宅基地自建安置的，支付12个月的临时安置补助费。</w:t>
            </w:r>
          </w:p>
        </w:tc>
      </w:tr>
      <w:tr w:rsidR="00141550" w:rsidRPr="00366EE8" w14:paraId="1F6C3E3A" w14:textId="77777777" w:rsidTr="008A4AA3">
        <w:tc>
          <w:tcPr>
            <w:tcW w:w="846" w:type="dxa"/>
            <w:vMerge/>
          </w:tcPr>
          <w:p w14:paraId="7148F9A0" w14:textId="34A1E976" w:rsidR="00141550" w:rsidRPr="00366EE8" w:rsidRDefault="00141550">
            <w:pPr>
              <w:rPr>
                <w:rFonts w:ascii="宋体" w:eastAsia="宋体" w:hAnsi="宋体" w:hint="eastAsia"/>
              </w:rPr>
            </w:pPr>
          </w:p>
        </w:tc>
        <w:tc>
          <w:tcPr>
            <w:tcW w:w="5670" w:type="dxa"/>
            <w:vAlign w:val="center"/>
          </w:tcPr>
          <w:p w14:paraId="179D5C26" w14:textId="7FDB98A6" w:rsidR="00141550" w:rsidRPr="00366EE8" w:rsidRDefault="00141550">
            <w:pPr>
              <w:rPr>
                <w:rFonts w:ascii="宋体" w:eastAsia="宋体" w:hAnsi="宋体" w:hint="eastAsia"/>
              </w:rPr>
            </w:pPr>
            <w:r w:rsidRPr="00141550">
              <w:rPr>
                <w:rFonts w:ascii="宋体" w:eastAsia="宋体" w:hAnsi="宋体" w:hint="eastAsia"/>
              </w:rPr>
              <w:t>第三十九条</w:t>
            </w:r>
            <w:r w:rsidR="008A4AA3">
              <w:rPr>
                <w:rFonts w:ascii="宋体" w:eastAsia="宋体" w:hAnsi="宋体" w:hint="eastAsia"/>
              </w:rPr>
              <w:t>关于</w:t>
            </w:r>
            <w:r w:rsidR="008A4AA3" w:rsidRPr="008A4AA3">
              <w:rPr>
                <w:rFonts w:ascii="宋体" w:eastAsia="宋体" w:hAnsi="宋体" w:hint="eastAsia"/>
              </w:rPr>
              <w:t>【外嫁妇女的权益保障】</w:t>
            </w:r>
            <w:r w:rsidR="008A4AA3">
              <w:rPr>
                <w:rFonts w:ascii="宋体" w:eastAsia="宋体" w:hAnsi="宋体" w:hint="eastAsia"/>
              </w:rPr>
              <w:t>的内容建议删除，</w:t>
            </w:r>
            <w:r w:rsidR="008A4AA3" w:rsidRPr="008A4AA3">
              <w:rPr>
                <w:rFonts w:ascii="宋体" w:eastAsia="宋体" w:hAnsi="宋体" w:hint="eastAsia"/>
              </w:rPr>
              <w:t xml:space="preserve"> </w:t>
            </w:r>
            <w:r w:rsidR="008A4AA3">
              <w:rPr>
                <w:rFonts w:ascii="宋体" w:eastAsia="宋体" w:hAnsi="宋体" w:hint="eastAsia"/>
              </w:rPr>
              <w:t>因为</w:t>
            </w:r>
            <w:r w:rsidR="008A4AA3" w:rsidRPr="008A4AA3">
              <w:rPr>
                <w:rFonts w:ascii="宋体" w:eastAsia="宋体" w:hAnsi="宋体" w:hint="eastAsia"/>
              </w:rPr>
              <w:t>根据《中华人民共和国村民委员会组织法》第二十四条、第二十七条等规定，征地补偿费的分配属于村民自治范围的权利，不宜通过本规定进行干预。</w:t>
            </w:r>
          </w:p>
        </w:tc>
        <w:tc>
          <w:tcPr>
            <w:tcW w:w="1417" w:type="dxa"/>
            <w:vAlign w:val="center"/>
          </w:tcPr>
          <w:p w14:paraId="0AE4DC60" w14:textId="50C09921" w:rsidR="00141550" w:rsidRPr="008A4AA3" w:rsidRDefault="008A4AA3" w:rsidP="008A4AA3">
            <w:pPr>
              <w:jc w:val="center"/>
              <w:rPr>
                <w:rFonts w:ascii="宋体" w:eastAsia="宋体" w:hAnsi="宋体" w:hint="eastAsia"/>
              </w:rPr>
            </w:pPr>
            <w:r>
              <w:rPr>
                <w:rFonts w:ascii="宋体" w:eastAsia="宋体" w:hAnsi="宋体" w:hint="eastAsia"/>
              </w:rPr>
              <w:t>不采纳</w:t>
            </w:r>
          </w:p>
        </w:tc>
        <w:tc>
          <w:tcPr>
            <w:tcW w:w="5954" w:type="dxa"/>
          </w:tcPr>
          <w:p w14:paraId="08E6F5B1" w14:textId="54AFCEB5" w:rsidR="00141550" w:rsidRPr="00366EE8" w:rsidRDefault="008A4AA3">
            <w:pPr>
              <w:rPr>
                <w:rFonts w:ascii="宋体" w:eastAsia="宋体" w:hAnsi="宋体" w:hint="eastAsia"/>
              </w:rPr>
            </w:pPr>
            <w:r>
              <w:rPr>
                <w:rFonts w:ascii="宋体" w:eastAsia="宋体" w:hAnsi="宋体" w:hint="eastAsia"/>
              </w:rPr>
              <w:t>该条内容原43号文有规定，该规定是针对三亚的实际情况而做出的，本次是修法，是对原43号文的优化与完善，在三亚普遍存在外嫁女征地补偿费用分配问题且在原43号文本就有规定的情况下，删除该条内容，会引发更大的矛盾纠纷，也不利于实际征收工作的开展。</w:t>
            </w:r>
          </w:p>
        </w:tc>
      </w:tr>
    </w:tbl>
    <w:p w14:paraId="3F92DD61" w14:textId="77777777" w:rsidR="000B4B67" w:rsidRPr="00366EE8" w:rsidRDefault="000B4B67">
      <w:pPr>
        <w:rPr>
          <w:rFonts w:ascii="宋体" w:eastAsia="宋体" w:hAnsi="宋体" w:hint="eastAsia"/>
        </w:rPr>
      </w:pPr>
    </w:p>
    <w:sectPr w:rsidR="000B4B67" w:rsidRPr="00366EE8" w:rsidSect="008A4AA3">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F27A0" w14:textId="77777777" w:rsidR="00964725" w:rsidRDefault="00964725" w:rsidP="00EF355B">
      <w:pPr>
        <w:rPr>
          <w:rFonts w:hint="eastAsia"/>
        </w:rPr>
      </w:pPr>
      <w:r>
        <w:separator/>
      </w:r>
    </w:p>
  </w:endnote>
  <w:endnote w:type="continuationSeparator" w:id="0">
    <w:p w14:paraId="010498E0" w14:textId="77777777" w:rsidR="00964725" w:rsidRDefault="00964725" w:rsidP="00EF35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A58C2" w14:textId="77777777" w:rsidR="008A4AA3" w:rsidRDefault="008A4AA3">
    <w:pPr>
      <w:pStyle w:val="a8"/>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473556"/>
      <w:docPartObj>
        <w:docPartGallery w:val="Page Numbers (Bottom of Page)"/>
        <w:docPartUnique/>
      </w:docPartObj>
    </w:sdtPr>
    <w:sdtContent>
      <w:sdt>
        <w:sdtPr>
          <w:id w:val="1728636285"/>
          <w:docPartObj>
            <w:docPartGallery w:val="Page Numbers (Top of Page)"/>
            <w:docPartUnique/>
          </w:docPartObj>
        </w:sdtPr>
        <w:sdtContent>
          <w:p w14:paraId="38A5F452" w14:textId="396DA2B9" w:rsidR="008A4AA3" w:rsidRDefault="008A4AA3">
            <w:pPr>
              <w:pStyle w:val="a8"/>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125A4B8" w14:textId="77777777" w:rsidR="008A4AA3" w:rsidRDefault="008A4AA3">
    <w:pPr>
      <w:pStyle w:val="a8"/>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A454" w14:textId="77777777" w:rsidR="008A4AA3" w:rsidRDefault="008A4AA3">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700B" w14:textId="77777777" w:rsidR="00964725" w:rsidRDefault="00964725" w:rsidP="00EF355B">
      <w:pPr>
        <w:rPr>
          <w:rFonts w:hint="eastAsia"/>
        </w:rPr>
      </w:pPr>
      <w:r>
        <w:separator/>
      </w:r>
    </w:p>
  </w:footnote>
  <w:footnote w:type="continuationSeparator" w:id="0">
    <w:p w14:paraId="476755A7" w14:textId="77777777" w:rsidR="00964725" w:rsidRDefault="00964725" w:rsidP="00EF355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7E21A" w14:textId="77777777" w:rsidR="008A4AA3" w:rsidRDefault="008A4AA3">
    <w:pPr>
      <w:pStyle w:val="a6"/>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69E7D" w14:textId="77777777" w:rsidR="008A4AA3" w:rsidRDefault="008A4AA3">
    <w:pPr>
      <w:pStyle w:val="a6"/>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6B94" w14:textId="77777777" w:rsidR="008A4AA3" w:rsidRDefault="008A4AA3">
    <w:pPr>
      <w:pStyle w:val="a6"/>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80"/>
    <w:rsid w:val="000B4B67"/>
    <w:rsid w:val="00141550"/>
    <w:rsid w:val="002D06FB"/>
    <w:rsid w:val="00366EE8"/>
    <w:rsid w:val="00593E7D"/>
    <w:rsid w:val="006D3D25"/>
    <w:rsid w:val="008A4AA3"/>
    <w:rsid w:val="00964725"/>
    <w:rsid w:val="009E3180"/>
    <w:rsid w:val="00AC5DFA"/>
    <w:rsid w:val="00B543A5"/>
    <w:rsid w:val="00B964F0"/>
    <w:rsid w:val="00CE6BED"/>
    <w:rsid w:val="00D418AA"/>
    <w:rsid w:val="00DB4D94"/>
    <w:rsid w:val="00E97719"/>
    <w:rsid w:val="00EF355B"/>
    <w:rsid w:val="00FA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01542"/>
  <w15:chartTrackingRefBased/>
  <w15:docId w15:val="{9A42AA02-1054-4C88-916E-5EDB115B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E3180"/>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a4"/>
    <w:uiPriority w:val="99"/>
    <w:semiHidden/>
    <w:unhideWhenUsed/>
    <w:rsid w:val="009E3180"/>
    <w:rPr>
      <w:sz w:val="18"/>
      <w:szCs w:val="18"/>
    </w:rPr>
  </w:style>
  <w:style w:type="character" w:customStyle="1" w:styleId="a4">
    <w:name w:val="批注框文本 字符"/>
    <w:basedOn w:val="a1"/>
    <w:link w:val="a0"/>
    <w:uiPriority w:val="99"/>
    <w:semiHidden/>
    <w:rsid w:val="009E3180"/>
    <w:rPr>
      <w:sz w:val="18"/>
      <w:szCs w:val="18"/>
    </w:rPr>
  </w:style>
  <w:style w:type="table" w:styleId="a5">
    <w:name w:val="Table Grid"/>
    <w:basedOn w:val="a2"/>
    <w:uiPriority w:val="39"/>
    <w:rsid w:val="00CE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F355B"/>
    <w:pPr>
      <w:tabs>
        <w:tab w:val="center" w:pos="4153"/>
        <w:tab w:val="right" w:pos="8306"/>
      </w:tabs>
      <w:snapToGrid w:val="0"/>
      <w:jc w:val="center"/>
    </w:pPr>
    <w:rPr>
      <w:sz w:val="18"/>
      <w:szCs w:val="18"/>
    </w:rPr>
  </w:style>
  <w:style w:type="character" w:customStyle="1" w:styleId="a7">
    <w:name w:val="页眉 字符"/>
    <w:basedOn w:val="a1"/>
    <w:link w:val="a6"/>
    <w:uiPriority w:val="99"/>
    <w:rsid w:val="00EF355B"/>
    <w:rPr>
      <w:sz w:val="18"/>
      <w:szCs w:val="18"/>
    </w:rPr>
  </w:style>
  <w:style w:type="paragraph" w:styleId="a8">
    <w:name w:val="footer"/>
    <w:basedOn w:val="a"/>
    <w:link w:val="a9"/>
    <w:uiPriority w:val="99"/>
    <w:unhideWhenUsed/>
    <w:rsid w:val="00EF355B"/>
    <w:pPr>
      <w:tabs>
        <w:tab w:val="center" w:pos="4153"/>
        <w:tab w:val="right" w:pos="8306"/>
      </w:tabs>
      <w:snapToGrid w:val="0"/>
      <w:jc w:val="left"/>
    </w:pPr>
    <w:rPr>
      <w:sz w:val="18"/>
      <w:szCs w:val="18"/>
    </w:rPr>
  </w:style>
  <w:style w:type="character" w:customStyle="1" w:styleId="a9">
    <w:name w:val="页脚 字符"/>
    <w:basedOn w:val="a1"/>
    <w:link w:val="a8"/>
    <w:uiPriority w:val="99"/>
    <w:rsid w:val="00EF35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wang</dc:creator>
  <cp:keywords/>
  <dc:description/>
  <cp:lastModifiedBy>li wang</cp:lastModifiedBy>
  <cp:revision>6</cp:revision>
  <dcterms:created xsi:type="dcterms:W3CDTF">2024-11-29T05:48:00Z</dcterms:created>
  <dcterms:modified xsi:type="dcterms:W3CDTF">2024-11-29T07:01:00Z</dcterms:modified>
</cp:coreProperties>
</file>