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2026</w:t>
      </w:r>
      <w:r>
        <w:rPr>
          <w:rFonts w:hint="eastAsia"/>
          <w:sz w:val="52"/>
          <w:szCs w:val="52"/>
        </w:rPr>
        <w:t>年</w:t>
      </w:r>
      <w:r>
        <w:rPr>
          <w:rFonts w:hint="eastAsia"/>
          <w:sz w:val="52"/>
          <w:szCs w:val="52"/>
          <w:lang w:eastAsia="zh-CN"/>
        </w:rPr>
        <w:t>三亚市自然资源和规划局</w:t>
      </w:r>
      <w:r>
        <w:rPr>
          <w:rFonts w:hint="eastAsia"/>
          <w:sz w:val="52"/>
          <w:szCs w:val="52"/>
          <w:lang w:val="en-US" w:eastAsia="zh-CN"/>
        </w:rPr>
        <w:t xml:space="preserve">  </w:t>
      </w:r>
      <w:r>
        <w:rPr>
          <w:rFonts w:hint="eastAsia"/>
          <w:sz w:val="52"/>
          <w:szCs w:val="5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政府性基金预算“三公”经费支出表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国有资本经营预算支出表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1"/>
          <w:numId w:val="0"/>
        </w:numPr>
        <w:ind w:left="0" w:firstLine="0" w:firstLineChars="0"/>
        <w:jc w:val="left"/>
        <w:rPr>
          <w:rFonts w:ascii="黑体" w:hAnsi="黑体" w:eastAsia="黑体"/>
          <w:sz w:val="32"/>
          <w:szCs w:val="32"/>
        </w:rPr>
      </w:pPr>
      <w:r>
        <w:rPr>
          <w:rFonts w:hint="eastAsia" w:ascii="仿宋_GB2312" w:hAnsi="仿宋_GB2312" w:eastAsia="仿宋_GB2312" w:cs="仿宋_GB2312"/>
          <w:sz w:val="32"/>
          <w:szCs w:val="32"/>
          <w:lang w:val="en-US" w:eastAsia="zh-CN"/>
        </w:rPr>
        <w:t>十一、</w:t>
      </w: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仿宋_GB2312" w:hAnsi="黑体" w:eastAsia="仿宋_GB2312" w:cs="仿宋_GB2312"/>
          <w:sz w:val="32"/>
          <w:szCs w:val="32"/>
          <w:lang w:val="en-US" w:eastAsia="zh-CN"/>
        </w:rPr>
        <w:t>2026</w:t>
      </w:r>
      <w:r>
        <w:rPr>
          <w:rFonts w:hint="eastAsia" w:ascii="黑体" w:hAnsi="黑体" w:eastAsia="黑体"/>
          <w:sz w:val="32"/>
          <w:szCs w:val="32"/>
        </w:rPr>
        <w:t>年部门预算情况说明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（部门）概况</w:t>
      </w:r>
    </w:p>
    <w:p>
      <w:pPr>
        <w:jc w:val="left"/>
        <w:rPr>
          <w:rFonts w:ascii="仿宋_GB2312" w:hAnsi="仿宋_GB2312" w:eastAsia="仿宋_GB2312" w:cs="仿宋_GB2312"/>
          <w:sz w:val="32"/>
          <w:szCs w:val="32"/>
        </w:rPr>
      </w:pPr>
    </w:p>
    <w:p>
      <w:pPr>
        <w:pStyle w:val="10"/>
        <w:keepNext w:val="0"/>
        <w:keepLines w:val="0"/>
        <w:widowControl w:val="0"/>
        <w:shd w:val="clear" w:color="auto" w:fill="auto"/>
        <w:bidi w:val="0"/>
        <w:spacing w:before="0" w:after="0" w:line="568" w:lineRule="exact"/>
        <w:ind w:left="0" w:right="0" w:firstLine="660"/>
        <w:jc w:val="both"/>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pStyle w:val="10"/>
        <w:keepNext w:val="0"/>
        <w:keepLines w:val="0"/>
        <w:widowControl w:val="0"/>
        <w:shd w:val="clear" w:color="auto" w:fill="auto"/>
        <w:tabs>
          <w:tab w:val="left" w:pos="1618"/>
        </w:tabs>
        <w:bidi w:val="0"/>
        <w:spacing w:before="0" w:after="0" w:line="568" w:lineRule="exact"/>
        <w:ind w:right="0" w:firstLine="0" w:firstLineChars="0"/>
        <w:jc w:val="both"/>
        <w:rPr>
          <w:rFonts w:hint="eastAsia" w:ascii="仿宋_GB2312" w:hAnsi="仿宋_GB2312" w:eastAsia="仿宋_GB2312" w:cs="仿宋_GB2312"/>
          <w:sz w:val="32"/>
          <w:szCs w:val="32"/>
        </w:rPr>
      </w:pPr>
      <w:bookmarkStart w:id="0" w:name="bookmark10"/>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0"/>
      <w:r>
        <w:rPr>
          <w:rFonts w:hint="eastAsia" w:ascii="仿宋_GB2312" w:hAnsi="仿宋_GB2312" w:eastAsia="仿宋_GB2312" w:cs="仿宋_GB2312"/>
          <w:color w:val="000000"/>
          <w:spacing w:val="0"/>
          <w:w w:val="100"/>
          <w:position w:val="0"/>
          <w:sz w:val="32"/>
          <w:szCs w:val="32"/>
        </w:rPr>
        <w:t>一）贯彻落实党和国家、省有关全市自然资源、空间规划和海洋工作的方针政策、法律法规，执行市委、市政府决策部署和中国（海南）自由贸易试验区、中国特色自由贸易港政策措施, 研究提出中国（海南）自由贸易试验区、中国特色自由贸易港有关自然资源、空间规划和海洋工作方面的意见和建议。</w:t>
      </w:r>
    </w:p>
    <w:p>
      <w:pPr>
        <w:pStyle w:val="10"/>
        <w:keepNext w:val="0"/>
        <w:keepLines w:val="0"/>
        <w:widowControl w:val="0"/>
        <w:shd w:val="clear" w:color="auto" w:fill="auto"/>
        <w:tabs>
          <w:tab w:val="left" w:pos="841"/>
        </w:tabs>
        <w:bidi w:val="0"/>
        <w:spacing w:before="0" w:after="0" w:line="568" w:lineRule="exact"/>
        <w:ind w:right="0" w:firstLine="0" w:firstLineChars="0"/>
        <w:jc w:val="both"/>
        <w:rPr>
          <w:rFonts w:hint="eastAsia" w:ascii="仿宋_GB2312" w:hAnsi="仿宋_GB2312" w:eastAsia="仿宋_GB2312" w:cs="仿宋_GB2312"/>
          <w:sz w:val="32"/>
          <w:szCs w:val="32"/>
        </w:rPr>
      </w:pPr>
      <w:bookmarkStart w:id="1" w:name="bookmark11"/>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1"/>
      <w:r>
        <w:rPr>
          <w:rFonts w:hint="eastAsia" w:ascii="仿宋_GB2312" w:hAnsi="仿宋_GB2312" w:eastAsia="仿宋_GB2312" w:cs="仿宋_GB2312"/>
          <w:color w:val="000000"/>
          <w:spacing w:val="0"/>
          <w:w w:val="100"/>
          <w:position w:val="0"/>
          <w:sz w:val="32"/>
          <w:szCs w:val="32"/>
        </w:rPr>
        <w:t>二）履行全市全民所有土地、矿产、森林、草原、湿地、水、海洋等自然资源资产所有者职责和所有国土空间用途管制职责。拟订全市自然资源和国土空间规划等规章、规范性文件和政策草案。研究推进自然资源和国土空间规划改革工作。研究中国（海南）自由贸易试验区、中国特色自由贸易港自然资源、空间规划和海洋工作方面的意见和建议。</w:t>
      </w:r>
    </w:p>
    <w:p>
      <w:pPr>
        <w:pStyle w:val="10"/>
        <w:keepNext w:val="0"/>
        <w:keepLines w:val="0"/>
        <w:widowControl w:val="0"/>
        <w:shd w:val="clear" w:color="auto" w:fill="auto"/>
        <w:tabs>
          <w:tab w:val="left" w:pos="1585"/>
        </w:tabs>
        <w:bidi w:val="0"/>
        <w:spacing w:before="0" w:after="0" w:line="569" w:lineRule="exact"/>
        <w:ind w:right="0" w:firstLine="0" w:firstLineChars="0"/>
        <w:jc w:val="both"/>
        <w:rPr>
          <w:rFonts w:hint="eastAsia" w:ascii="仿宋_GB2312" w:hAnsi="仿宋_GB2312" w:eastAsia="仿宋_GB2312" w:cs="仿宋_GB2312"/>
          <w:sz w:val="32"/>
          <w:szCs w:val="32"/>
        </w:rPr>
      </w:pPr>
      <w:bookmarkStart w:id="2" w:name="bookmark12"/>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2"/>
      <w:r>
        <w:rPr>
          <w:rFonts w:hint="eastAsia" w:ascii="仿宋_GB2312" w:hAnsi="仿宋_GB2312" w:eastAsia="仿宋_GB2312" w:cs="仿宋_GB2312"/>
          <w:color w:val="000000"/>
          <w:spacing w:val="0"/>
          <w:w w:val="100"/>
          <w:position w:val="0"/>
          <w:sz w:val="32"/>
          <w:szCs w:val="32"/>
        </w:rPr>
        <w:t>三）负责全市自然资源调查监测评价。建立统一规范的自然资源调查监测评价制度，组织实施全市自然资源基础调查、专项调查和监测。负责自然资源调查监测评价成果的监督管理和信息发布。依职权负责本市管辖海域勘界工作。</w:t>
      </w:r>
    </w:p>
    <w:p>
      <w:pPr>
        <w:pStyle w:val="10"/>
        <w:keepNext w:val="0"/>
        <w:keepLines w:val="0"/>
        <w:widowControl w:val="0"/>
        <w:shd w:val="clear" w:color="auto" w:fill="auto"/>
        <w:tabs>
          <w:tab w:val="left" w:pos="1585"/>
        </w:tabs>
        <w:bidi w:val="0"/>
        <w:spacing w:before="0" w:after="0" w:line="569" w:lineRule="exact"/>
        <w:ind w:right="0"/>
        <w:jc w:val="both"/>
        <w:rPr>
          <w:rFonts w:hint="eastAsia" w:ascii="仿宋_GB2312" w:hAnsi="仿宋_GB2312" w:eastAsia="仿宋_GB2312" w:cs="仿宋_GB2312"/>
          <w:sz w:val="32"/>
          <w:szCs w:val="32"/>
        </w:rPr>
      </w:pPr>
      <w:bookmarkStart w:id="3" w:name="bookmark13"/>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3"/>
      <w:r>
        <w:rPr>
          <w:rFonts w:hint="eastAsia" w:ascii="仿宋_GB2312" w:hAnsi="仿宋_GB2312" w:eastAsia="仿宋_GB2312" w:cs="仿宋_GB2312"/>
          <w:color w:val="000000"/>
          <w:spacing w:val="0"/>
          <w:w w:val="100"/>
          <w:position w:val="0"/>
          <w:sz w:val="32"/>
          <w:szCs w:val="32"/>
        </w:rPr>
        <w:t>四）负责全市自然资源统一确权登记工作。贯彻执行、制定和完善各类自然资源和不动产统一确权登记、权籍调查、不动产测绘、争议调处、成果应用的制度、标准、规范。建立健全全市自然资源和不动产登记信息管理基础平台。负责自然资源和不动产登记资料收集、整理、共享、汇交管理等。</w:t>
      </w:r>
    </w:p>
    <w:p>
      <w:pPr>
        <w:pStyle w:val="10"/>
        <w:keepNext w:val="0"/>
        <w:keepLines w:val="0"/>
        <w:widowControl w:val="0"/>
        <w:shd w:val="clear" w:color="auto" w:fill="auto"/>
        <w:tabs>
          <w:tab w:val="left" w:pos="1585"/>
        </w:tabs>
        <w:bidi w:val="0"/>
        <w:spacing w:before="0" w:after="0" w:line="572" w:lineRule="exact"/>
        <w:ind w:right="0"/>
        <w:jc w:val="both"/>
        <w:rPr>
          <w:rFonts w:hint="eastAsia" w:ascii="仿宋_GB2312" w:hAnsi="仿宋_GB2312" w:eastAsia="仿宋_GB2312" w:cs="仿宋_GB2312"/>
          <w:sz w:val="32"/>
          <w:szCs w:val="32"/>
        </w:rPr>
      </w:pPr>
      <w:bookmarkStart w:id="4" w:name="bookmark14"/>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4"/>
      <w:r>
        <w:rPr>
          <w:rFonts w:hint="eastAsia" w:ascii="仿宋_GB2312" w:hAnsi="仿宋_GB2312" w:eastAsia="仿宋_GB2312" w:cs="仿宋_GB2312"/>
          <w:color w:val="000000"/>
          <w:spacing w:val="0"/>
          <w:w w:val="100"/>
          <w:position w:val="0"/>
          <w:sz w:val="32"/>
          <w:szCs w:val="32"/>
        </w:rPr>
        <w:t>五）负责全市自然资源资产有偿使用工作。负责全市全民所有自然资源资产统计、核算工作。组织编制全市全民所有自然资源资产负债表。负责全民所有自然资源资产划拨、出让、置换和流转工作，合理配置全民所有自然资源资产。负责全市自然资源资产价值评估管理，依法收缴相关资产收益。配合做好深化农垦改革工作。有序推行土地资产化和资本化。</w:t>
      </w:r>
    </w:p>
    <w:p>
      <w:pPr>
        <w:pStyle w:val="10"/>
        <w:keepNext w:val="0"/>
        <w:keepLines w:val="0"/>
        <w:widowControl w:val="0"/>
        <w:shd w:val="clear" w:color="auto" w:fill="auto"/>
        <w:tabs>
          <w:tab w:val="left" w:pos="1686"/>
        </w:tabs>
        <w:bidi w:val="0"/>
        <w:spacing w:before="0" w:after="0" w:line="572" w:lineRule="exact"/>
        <w:ind w:right="0"/>
        <w:jc w:val="both"/>
        <w:rPr>
          <w:rFonts w:hint="eastAsia" w:ascii="仿宋_GB2312" w:hAnsi="仿宋_GB2312" w:eastAsia="仿宋_GB2312" w:cs="仿宋_GB2312"/>
          <w:sz w:val="32"/>
          <w:szCs w:val="32"/>
        </w:rPr>
      </w:pPr>
      <w:bookmarkStart w:id="5" w:name="bookmark15"/>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5"/>
      <w:r>
        <w:rPr>
          <w:rFonts w:hint="eastAsia" w:ascii="仿宋_GB2312" w:hAnsi="仿宋_GB2312" w:eastAsia="仿宋_GB2312" w:cs="仿宋_GB2312"/>
          <w:color w:val="000000"/>
          <w:spacing w:val="0"/>
          <w:w w:val="100"/>
          <w:position w:val="0"/>
          <w:sz w:val="32"/>
          <w:szCs w:val="32"/>
        </w:rPr>
        <w:t>六）负责全市自然资源的合理开发利用。拟订全市自然资源发展规划和战略，贯彻执行国家、省自然资源开发利用标准。建立政府公示自然资源价格体系，组织开展自然资源分等定级价格评估和自然资源利用评价考核。实行最严格的节约用地制度，实施建设用地总量和强度双控行动。组织指导全市统筹推进农村土地制度改革。实施海洋综合管理，协调各涉海部门、行业的海洋开发活动。负责全市自然资源市场监管。组织研究制定全市自然资源管理涉及宏观调控、区域协调和城乡统筹的政策措施。</w:t>
      </w:r>
    </w:p>
    <w:p>
      <w:pPr>
        <w:pStyle w:val="10"/>
        <w:keepNext w:val="0"/>
        <w:keepLines w:val="0"/>
        <w:widowControl w:val="0"/>
        <w:shd w:val="clear" w:color="auto" w:fill="auto"/>
        <w:tabs>
          <w:tab w:val="left" w:pos="1551"/>
        </w:tabs>
        <w:bidi w:val="0"/>
        <w:spacing w:before="0" w:after="0" w:line="564" w:lineRule="exact"/>
        <w:ind w:right="0"/>
        <w:jc w:val="both"/>
        <w:rPr>
          <w:rFonts w:hint="eastAsia" w:ascii="仿宋_GB2312" w:hAnsi="仿宋_GB2312" w:eastAsia="仿宋_GB2312" w:cs="仿宋_GB2312"/>
          <w:sz w:val="32"/>
          <w:szCs w:val="32"/>
        </w:rPr>
      </w:pPr>
      <w:bookmarkStart w:id="6" w:name="bookmark16"/>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6"/>
      <w:r>
        <w:rPr>
          <w:rFonts w:hint="eastAsia" w:ascii="仿宋_GB2312" w:hAnsi="仿宋_GB2312" w:eastAsia="仿宋_GB2312" w:cs="仿宋_GB2312"/>
          <w:color w:val="000000"/>
          <w:spacing w:val="0"/>
          <w:w w:val="100"/>
          <w:position w:val="0"/>
          <w:sz w:val="32"/>
          <w:szCs w:val="32"/>
        </w:rPr>
        <w:t>七）贯彻实施省建立的全省空间规划体系，建立市空间规划体系并组织实施。统筹全市空间战略布局，编制、修编本市国土空间规划和相关专项规划并组织实施，构建全市高效统一的规划管理体系。开展全市国土空间开发适宜性评价，组织开展国土空间规划实施情况评估、评价。组织划定市级生态保护红线、永久基本农田红线和开发边界。配合划定海洋生物资源保护线、围填海控制线等控制线，构建节约资源和保护环境的生产、生活、生态空间布局。组织落实全市国土空间用途管制制度。组织拟订并实施土地、海洋等自然资源年度利用计划。负责土地（含林地）、 海域、海岛等国土空间用途转用工作。负责制订和更新土地征用补偿标准及实施过程中的政策指导。</w:t>
      </w:r>
    </w:p>
    <w:p>
      <w:pPr>
        <w:pStyle w:val="10"/>
        <w:keepNext w:val="0"/>
        <w:keepLines w:val="0"/>
        <w:widowControl w:val="0"/>
        <w:shd w:val="clear" w:color="auto" w:fill="auto"/>
        <w:tabs>
          <w:tab w:val="left" w:pos="1558"/>
        </w:tabs>
        <w:bidi w:val="0"/>
        <w:spacing w:before="0" w:after="0" w:line="564" w:lineRule="exact"/>
        <w:ind w:right="0"/>
        <w:jc w:val="both"/>
        <w:rPr>
          <w:rFonts w:hint="eastAsia" w:ascii="仿宋_GB2312" w:hAnsi="仿宋_GB2312" w:eastAsia="仿宋_GB2312" w:cs="仿宋_GB2312"/>
          <w:sz w:val="32"/>
          <w:szCs w:val="32"/>
        </w:rPr>
      </w:pPr>
      <w:bookmarkStart w:id="7" w:name="bookmark17"/>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7"/>
      <w:r>
        <w:rPr>
          <w:rFonts w:hint="eastAsia" w:ascii="仿宋_GB2312" w:hAnsi="仿宋_GB2312" w:eastAsia="仿宋_GB2312" w:cs="仿宋_GB2312"/>
          <w:color w:val="000000"/>
          <w:spacing w:val="0"/>
          <w:w w:val="100"/>
          <w:position w:val="0"/>
          <w:sz w:val="32"/>
          <w:szCs w:val="32"/>
        </w:rPr>
        <w:t>八）负责统筹全市国土空间生态修复。拟订国土空间生态修复规划，组织制定生态修复实施计划，组织实施有关生态修复重大工程。负责国土空间综合整治、土地整理复垦、矿山地质环境恢复治理、海洋生态、海域海岸线和海岛修复等工作。</w:t>
      </w:r>
    </w:p>
    <w:p>
      <w:pPr>
        <w:pStyle w:val="10"/>
        <w:keepNext w:val="0"/>
        <w:keepLines w:val="0"/>
        <w:widowControl w:val="0"/>
        <w:shd w:val="clear" w:color="auto" w:fill="auto"/>
        <w:tabs>
          <w:tab w:val="left" w:pos="781"/>
        </w:tabs>
        <w:bidi w:val="0"/>
        <w:spacing w:before="0" w:after="0" w:line="564" w:lineRule="exact"/>
        <w:ind w:right="0"/>
        <w:jc w:val="both"/>
        <w:rPr>
          <w:rFonts w:hint="eastAsia" w:ascii="仿宋_GB2312" w:hAnsi="仿宋_GB2312" w:eastAsia="仿宋_GB2312" w:cs="仿宋_GB2312"/>
          <w:sz w:val="32"/>
          <w:szCs w:val="32"/>
        </w:rPr>
      </w:pPr>
      <w:bookmarkStart w:id="8" w:name="bookmark18"/>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8"/>
      <w:r>
        <w:rPr>
          <w:rFonts w:hint="eastAsia" w:ascii="仿宋_GB2312" w:hAnsi="仿宋_GB2312" w:eastAsia="仿宋_GB2312" w:cs="仿宋_GB2312"/>
          <w:color w:val="000000"/>
          <w:spacing w:val="0"/>
          <w:w w:val="100"/>
          <w:position w:val="0"/>
          <w:sz w:val="32"/>
          <w:szCs w:val="32"/>
        </w:rPr>
        <w:t>九）负责组织实施最严格的耕地保护制度。贯彻执行国家、省耕地保护政策，确保全市耕地保有量和基本农田面积不减少、质量有提高的目标。组织实施耕地保护责任目标考核和监督永久基本农田特殊保护。组织落实耕地占补平衡制度。</w:t>
      </w:r>
    </w:p>
    <w:p>
      <w:pPr>
        <w:pStyle w:val="10"/>
        <w:keepNext w:val="0"/>
        <w:keepLines w:val="0"/>
        <w:widowControl w:val="0"/>
        <w:shd w:val="clear" w:color="auto" w:fill="auto"/>
        <w:bidi w:val="0"/>
        <w:spacing w:before="0" w:after="0" w:line="570"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（十）负责地质工作和矿产资源管理。配合开展基础地质调查和矿产资源勘查工作。监督指导矿产资源合理利用和保护。承担矿产资源储量管理工作，管理地质勘查成果和地质资料汇交。组织保护地质遗迹。</w:t>
      </w:r>
    </w:p>
    <w:p>
      <w:pPr>
        <w:pStyle w:val="10"/>
        <w:keepNext w:val="0"/>
        <w:keepLines w:val="0"/>
        <w:widowControl w:val="0"/>
        <w:shd w:val="clear" w:color="auto" w:fill="auto"/>
        <w:bidi w:val="0"/>
        <w:spacing w:before="0" w:after="0" w:line="570"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（十一）负责组织实施全市海洋战略规划。配合国家、省实施海洋强国重大战略，海洋强省重大战略。拟订三亚市海洋发展、深海等海洋强市建设重大战略并监督实施。</w:t>
      </w:r>
    </w:p>
    <w:p>
      <w:pPr>
        <w:pStyle w:val="10"/>
        <w:keepNext w:val="0"/>
        <w:keepLines w:val="0"/>
        <w:widowControl w:val="0"/>
        <w:shd w:val="clear" w:color="auto" w:fill="auto"/>
        <w:bidi w:val="0"/>
        <w:spacing w:before="0" w:after="0" w:line="570"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（十二）负责全市海洋开发利用和保护的监督管理工作。负</w:t>
      </w:r>
      <w:r>
        <w:rPr>
          <w:rFonts w:hint="eastAsia" w:ascii="仿宋_GB2312" w:hAnsi="仿宋_GB2312" w:eastAsia="仿宋_GB2312" w:cs="仿宋_GB2312"/>
          <w:color w:val="685D86"/>
          <w:spacing w:val="0"/>
          <w:w w:val="100"/>
          <w:position w:val="0"/>
          <w:sz w:val="32"/>
          <w:szCs w:val="32"/>
        </w:rPr>
        <w:t>责</w:t>
      </w:r>
      <w:r>
        <w:rPr>
          <w:rFonts w:hint="eastAsia" w:ascii="仿宋_GB2312" w:hAnsi="仿宋_GB2312" w:eastAsia="仿宋_GB2312" w:cs="仿宋_GB2312"/>
          <w:color w:val="000000"/>
          <w:spacing w:val="0"/>
          <w:w w:val="100"/>
          <w:position w:val="0"/>
          <w:sz w:val="32"/>
          <w:szCs w:val="32"/>
        </w:rPr>
        <w:t>全市海域使用和海岛保护利用管理。配合省组织实施海域海岛保护利用规划。负责全市无居民海岛、海域、海底地形地名管理工作。按照国家、省统一部署，落实领海基点等特殊用途海岛保护政策。</w:t>
      </w:r>
    </w:p>
    <w:p>
      <w:pPr>
        <w:pStyle w:val="10"/>
        <w:keepNext w:val="0"/>
        <w:keepLines w:val="0"/>
        <w:widowControl w:val="0"/>
        <w:shd w:val="clear" w:color="auto" w:fill="auto"/>
        <w:bidi w:val="0"/>
        <w:spacing w:before="0" w:after="0" w:line="572"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三）配合省开展自然资源国际合作及推动自然资源领域科技发展。配合开展自然资源领域对外交流合作。配合开展维护国家海洋权益工作。贯彻实施省自然资源领域科技创新发展和人才培养战略、规划和计划。配合实施省重大科技工程及创新能力建设，推进自然资源信息化和信息资料的公共服务。</w:t>
      </w:r>
    </w:p>
    <w:p>
      <w:pPr>
        <w:pStyle w:val="10"/>
        <w:keepNext w:val="0"/>
        <w:keepLines w:val="0"/>
        <w:widowControl w:val="0"/>
        <w:shd w:val="clear" w:color="auto" w:fill="auto"/>
        <w:bidi w:val="0"/>
        <w:spacing w:before="0" w:after="0" w:line="572"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四）督促检查国土空间规划的执行情况。拟订自然资源和规划督察管理、协作和问责制度，拟订国土空间规划管控措施并监督实施。调查违反自然资源开发利用和国土空间规划的行为，依法提出纠正、处理意见，及时向市政府报告自然资源和规划管控重大风险和问题。</w:t>
      </w:r>
    </w:p>
    <w:p>
      <w:pPr>
        <w:pStyle w:val="10"/>
        <w:keepNext w:val="0"/>
        <w:keepLines w:val="0"/>
        <w:widowControl w:val="0"/>
        <w:shd w:val="clear" w:color="auto" w:fill="auto"/>
        <w:bidi w:val="0"/>
        <w:spacing w:before="0" w:after="0" w:line="569"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（十五）负责依法组织编制和实施城乡规划管理，负责有关规划的审查、审批和组织报批，核发有关书、证，负责行政审批和批后验收管理。</w:t>
      </w:r>
    </w:p>
    <w:p>
      <w:pPr>
        <w:pStyle w:val="10"/>
        <w:keepNext w:val="0"/>
        <w:keepLines w:val="0"/>
        <w:widowControl w:val="0"/>
        <w:shd w:val="clear" w:color="auto" w:fill="auto"/>
        <w:bidi w:val="0"/>
        <w:spacing w:before="0" w:after="0" w:line="569"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六）负责测绘地理信息管理工作。负责基础测绘和测绘行业管理。负责测绘资质资格与信用管理，监督管理地理信息获取和应用，组织协调地理信息安全监管。负责地理信息公共服务和地图管理。组织开展地方测量标志的设立和保护。</w:t>
      </w:r>
    </w:p>
    <w:p>
      <w:pPr>
        <w:pStyle w:val="10"/>
        <w:keepNext w:val="0"/>
        <w:keepLines w:val="0"/>
        <w:widowControl w:val="0"/>
        <w:shd w:val="clear" w:color="auto" w:fill="auto"/>
        <w:bidi w:val="0"/>
        <w:spacing w:before="0" w:after="0" w:line="569"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（十七）完成市委、市政府交办的其他任务。</w:t>
      </w:r>
    </w:p>
    <w:p/>
    <w:p>
      <w:pPr>
        <w:pStyle w:val="6"/>
        <w:numPr>
          <w:ilvl w:val="0"/>
          <w:numId w:val="0"/>
        </w:numPr>
        <w:ind w:leftChars="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ind w:firstLine="64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仿宋_GB2312" w:eastAsia="仿宋_GB2312" w:cs="仿宋_GB2312"/>
          <w:sz w:val="32"/>
          <w:szCs w:val="32"/>
          <w:lang w:eastAsia="zh-CN"/>
        </w:rPr>
        <w:t>三亚市自然资源和规划局</w:t>
      </w:r>
      <w:r>
        <w:rPr>
          <w:rFonts w:hint="eastAsia" w:ascii="仿宋_GB2312" w:hAnsi="黑体" w:eastAsia="仿宋_GB2312" w:cs="仿宋_GB2312"/>
          <w:sz w:val="32"/>
          <w:szCs w:val="32"/>
        </w:rPr>
        <w:t>（部门）</w:t>
      </w:r>
      <w:r>
        <w:rPr>
          <w:rFonts w:hint="eastAsia" w:ascii="仿宋_GB2312" w:hAnsi="黑体" w:eastAsia="仿宋_GB2312" w:cs="仿宋_GB2312"/>
          <w:sz w:val="32"/>
          <w:szCs w:val="32"/>
          <w:lang w:val="en-US" w:eastAsia="zh-CN"/>
        </w:rPr>
        <w:t>2026</w:t>
      </w:r>
      <w:r>
        <w:rPr>
          <w:rFonts w:hint="eastAsia" w:ascii="仿宋_GB2312" w:hAnsi="黑体" w:eastAsia="仿宋_GB2312" w:cs="仿宋_GB2312"/>
          <w:sz w:val="32"/>
          <w:szCs w:val="32"/>
        </w:rPr>
        <w:t>部门预算编制范围的二级预算单位包括：</w:t>
      </w:r>
    </w:p>
    <w:p>
      <w:pPr>
        <w:numPr>
          <w:ilvl w:val="0"/>
          <w:numId w:val="0"/>
        </w:numPr>
        <w:ind w:firstLine="640" w:firstLineChars="20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1.三亚市自然资源和规划局</w:t>
      </w:r>
    </w:p>
    <w:p>
      <w:pPr>
        <w:numPr>
          <w:ilvl w:val="0"/>
          <w:numId w:val="0"/>
        </w:numPr>
        <w:ind w:firstLine="640" w:firstLineChars="20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2.三亚市土地储备整理交易中心</w:t>
      </w:r>
    </w:p>
    <w:p>
      <w:pPr>
        <w:numPr>
          <w:ilvl w:val="0"/>
          <w:numId w:val="0"/>
        </w:num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lang w:eastAsia="zh-CN"/>
        </w:rPr>
        <w:t>三亚市不动产登记中心</w:t>
      </w:r>
    </w:p>
    <w:p>
      <w:pPr>
        <w:numPr>
          <w:ilvl w:val="0"/>
          <w:numId w:val="0"/>
        </w:numPr>
        <w:ind w:firstLine="640" w:firstLineChars="20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lang w:eastAsia="zh-CN"/>
        </w:rPr>
        <w:t>三亚市自然资源和规划服务中心</w:t>
      </w:r>
    </w:p>
    <w:p>
      <w:pPr>
        <w:ind w:firstLine="640" w:firstLineChars="200"/>
        <w:jc w:val="left"/>
        <w:rPr>
          <w:rFonts w:hint="eastAsia" w:ascii="黑体" w:hAnsi="黑体" w:eastAsia="黑体"/>
          <w:sz w:val="32"/>
          <w:szCs w:val="32"/>
          <w:lang w:val="en-US" w:eastAsia="zh-CN"/>
        </w:rPr>
      </w:pPr>
      <w:r>
        <w:rPr>
          <w:rFonts w:hint="eastAsia" w:ascii="仿宋_GB2312" w:hAnsi="黑体" w:eastAsia="仿宋_GB2312" w:cs="仿宋_GB2312"/>
          <w:sz w:val="32"/>
          <w:szCs w:val="32"/>
          <w:lang w:val="en-US" w:eastAsia="zh-CN"/>
        </w:rPr>
        <w:t>5.三亚市自然资源数据中心</w:t>
      </w:r>
    </w:p>
    <w:p>
      <w:pPr>
        <w:numPr>
          <w:ilvl w:val="0"/>
          <w:numId w:val="0"/>
        </w:numPr>
        <w:ind w:firstLine="640" w:firstLineChars="200"/>
        <w:jc w:val="center"/>
        <w:rPr>
          <w:rFonts w:hint="eastAsia" w:ascii="黑体" w:hAnsi="黑体" w:eastAsia="黑体"/>
          <w:sz w:val="32"/>
          <w:szCs w:val="32"/>
        </w:rPr>
      </w:pPr>
      <w:r>
        <w:rPr>
          <w:rFonts w:hint="eastAsia" w:ascii="黑体" w:hAnsi="黑体" w:eastAsia="黑体" w:cs="黑体"/>
          <w:sz w:val="32"/>
          <w:szCs w:val="32"/>
          <w:lang w:val="en-US" w:eastAsia="zh-CN"/>
        </w:rPr>
        <w:t xml:space="preserve">第二部分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2026</w:t>
      </w:r>
      <w:r>
        <w:rPr>
          <w:rFonts w:hint="eastAsia" w:ascii="黑体" w:hAnsi="黑体" w:eastAsia="黑体"/>
          <w:sz w:val="32"/>
          <w:szCs w:val="32"/>
        </w:rPr>
        <w:t>年部门预算表</w:t>
      </w: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numPr>
          <w:ilvl w:val="0"/>
          <w:numId w:val="0"/>
        </w:numPr>
        <w:jc w:val="center"/>
        <w:rPr>
          <w:rFonts w:hint="eastAsia"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2026</w:t>
      </w:r>
      <w:r>
        <w:rPr>
          <w:rFonts w:hint="eastAsia" w:ascii="黑体" w:hAnsi="黑体" w:eastAsia="黑体"/>
          <w:sz w:val="32"/>
          <w:szCs w:val="32"/>
        </w:rPr>
        <w:t>年部门预算情况说明</w:t>
      </w:r>
    </w:p>
    <w:p>
      <w:pPr>
        <w:ind w:firstLine="480" w:firstLineChars="150"/>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2026</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2026</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209,679.42</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209,679.42</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18,226.69</w:t>
      </w:r>
      <w:r>
        <w:rPr>
          <w:rFonts w:hint="eastAsia" w:ascii="仿宋_GB2312" w:hAnsi="黑体" w:eastAsia="仿宋_GB2312"/>
          <w:sz w:val="32"/>
          <w:szCs w:val="32"/>
        </w:rPr>
        <w:t>万元、上年结转1,593.12万元，政府性基金预算本年收入</w:t>
      </w:r>
      <w:r>
        <w:rPr>
          <w:rFonts w:hint="eastAsia" w:ascii="仿宋_GB2312" w:hAnsi="黑体" w:eastAsia="仿宋_GB2312" w:cs="仿宋_GB2312"/>
          <w:sz w:val="32"/>
          <w:szCs w:val="32"/>
          <w:lang w:val="en-US" w:eastAsia="zh-CN"/>
        </w:rPr>
        <w:t>178,705.14</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12,747.59</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209679.42</w:t>
      </w:r>
      <w:r>
        <w:rPr>
          <w:rFonts w:hint="eastAsia" w:ascii="仿宋_GB2312" w:hAnsi="黑体" w:eastAsia="仿宋_GB2312"/>
          <w:sz w:val="32"/>
          <w:szCs w:val="32"/>
        </w:rPr>
        <w:t>万元，包括</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670.77万元、卫生健康支出540.83万元、城乡社区支出188842.35万元、农林水支出250万元、自然资源海洋气象等支出18978.76万元、住房保障支出396.71万元，结转下年0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2026</w:t>
      </w:r>
      <w:r>
        <w:rPr>
          <w:rFonts w:hint="eastAsia" w:ascii="黑体" w:hAnsi="黑体" w:eastAsia="黑体"/>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三亚市自然资源和规划局</w:t>
      </w:r>
      <w:r>
        <w:rPr>
          <w:rFonts w:hint="eastAsia" w:ascii="仿宋_GB2312" w:hAnsi="黑体" w:eastAsia="仿宋_GB2312"/>
          <w:color w:val="auto"/>
          <w:sz w:val="32"/>
          <w:szCs w:val="32"/>
        </w:rPr>
        <w:t>（部门）</w:t>
      </w:r>
      <w:r>
        <w:rPr>
          <w:rFonts w:hint="eastAsia" w:ascii="仿宋_GB2312" w:hAnsi="黑体" w:eastAsia="仿宋_GB2312"/>
          <w:color w:val="auto"/>
          <w:sz w:val="32"/>
          <w:szCs w:val="32"/>
          <w:lang w:val="en-US" w:eastAsia="zh-CN"/>
        </w:rPr>
        <w:t>2026</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20837.07</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减少</w:t>
      </w:r>
      <w:r>
        <w:rPr>
          <w:rFonts w:hint="eastAsia" w:ascii="仿宋_GB2312" w:hAnsi="黑体" w:eastAsia="仿宋_GB2312" w:cs="仿宋_GB2312"/>
          <w:color w:val="auto"/>
          <w:sz w:val="32"/>
          <w:szCs w:val="32"/>
          <w:lang w:val="en-US" w:eastAsia="zh-CN"/>
        </w:rPr>
        <w:t>42394.03</w:t>
      </w:r>
      <w:r>
        <w:rPr>
          <w:rFonts w:hint="eastAsia" w:ascii="仿宋_GB2312" w:hAnsi="黑体" w:eastAsia="仿宋_GB2312"/>
          <w:color w:val="auto"/>
          <w:sz w:val="32"/>
          <w:szCs w:val="32"/>
        </w:rPr>
        <w:t>万元</w:t>
      </w:r>
      <w:r>
        <w:rPr>
          <w:rFonts w:hint="eastAsia" w:ascii="仿宋_GB2312" w:hAnsi="黑体" w:eastAsia="仿宋_GB2312"/>
          <w:color w:val="FF0000"/>
          <w:sz w:val="32"/>
          <w:szCs w:val="32"/>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是减少了生态保护和修复项目预算所致。</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670.77万元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3.22</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卫生健康支出540.83万元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2.6</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农林水支出250万元，占1.2%；自然资源海洋气象等支出18978.76万元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91.08</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住房保障支出396.71万元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1.9%</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机关事业单位基本养老保险缴费支出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441.83</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97.36</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因正常晋升缴费基数变化</w:t>
      </w:r>
      <w:r>
        <w:rPr>
          <w:rFonts w:hint="eastAsia" w:ascii="仿宋_GB2312" w:hAnsi="黑体" w:eastAsia="仿宋_GB2312"/>
          <w:color w:val="auto"/>
          <w:sz w:val="32"/>
          <w:szCs w:val="32"/>
          <w:lang w:val="en-US" w:eastAsia="zh-CN"/>
        </w:rPr>
        <w:t>所致</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机关事业单位职业年金缴费支出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220.92</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48.69</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因正常晋升缴费基数变化</w:t>
      </w:r>
      <w:r>
        <w:rPr>
          <w:rFonts w:hint="eastAsia" w:ascii="仿宋_GB2312" w:hAnsi="黑体" w:eastAsia="仿宋_GB2312"/>
          <w:color w:val="auto"/>
          <w:sz w:val="32"/>
          <w:szCs w:val="32"/>
          <w:lang w:val="en-US" w:eastAsia="zh-CN"/>
        </w:rPr>
        <w:t>所致</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抚恤</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其他优抚支出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8.02</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增加0.</w:t>
      </w:r>
    </w:p>
    <w:p>
      <w:pPr>
        <w:rPr>
          <w:rFonts w:ascii="仿宋_GB2312" w:hAnsi="黑体" w:eastAsia="仿宋_GB2312"/>
          <w:color w:val="auto"/>
          <w:sz w:val="32"/>
          <w:szCs w:val="32"/>
        </w:rPr>
      </w:pPr>
      <w:r>
        <w:rPr>
          <w:rFonts w:hint="eastAsia" w:ascii="仿宋_GB2312" w:hAnsi="黑体" w:eastAsia="仿宋_GB2312"/>
          <w:sz w:val="32"/>
          <w:szCs w:val="32"/>
          <w:lang w:val="en-US" w:eastAsia="zh-CN"/>
        </w:rPr>
        <w:t>46万元，</w:t>
      </w:r>
      <w:r>
        <w:rPr>
          <w:rFonts w:hint="eastAsia" w:ascii="仿宋_GB2312" w:hAnsi="黑体" w:eastAsia="仿宋_GB2312"/>
          <w:color w:val="auto"/>
          <w:sz w:val="32"/>
          <w:szCs w:val="32"/>
          <w:lang w:val="en-US" w:eastAsia="zh-CN"/>
        </w:rPr>
        <w:t>主要原因是抚恤金领取人标准及抵扣金额变化所致。</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lang w:val="en-US" w:eastAsia="zh-CN"/>
        </w:rPr>
        <w:t>4.卫生健康支出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行政单位医疗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66.15</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sz w:val="32"/>
          <w:szCs w:val="32"/>
          <w:lang w:val="en-US" w:eastAsia="zh-CN"/>
        </w:rPr>
        <w:t>32.58</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因机构改革局本级规划服务中心</w:t>
      </w:r>
      <w:r>
        <w:rPr>
          <w:rFonts w:hint="eastAsia" w:ascii="Times New Roman" w:hAnsi="Times New Roman" w:eastAsia="仿宋_GB2312" w:cs="Times New Roman"/>
          <w:color w:val="auto"/>
          <w:sz w:val="32"/>
          <w:shd w:val="clear" w:color="auto" w:fill="FFFFFF"/>
          <w:lang w:eastAsia="zh-CN"/>
        </w:rPr>
        <w:t>人员划入下属事业单位</w:t>
      </w:r>
      <w:r>
        <w:rPr>
          <w:rFonts w:hint="eastAsia" w:ascii="仿宋_GB2312" w:hAnsi="黑体" w:eastAsia="仿宋_GB2312"/>
          <w:color w:val="auto"/>
          <w:sz w:val="32"/>
          <w:szCs w:val="32"/>
          <w:lang w:val="en-US" w:eastAsia="zh-CN"/>
        </w:rPr>
        <w:t>所致</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lang w:val="en-US" w:eastAsia="zh-CN"/>
        </w:rPr>
        <w:t>5.卫生健康支出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事业单位医疗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82.59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30.68</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因机构改革局本级规划服务中心</w:t>
      </w:r>
      <w:r>
        <w:rPr>
          <w:rFonts w:hint="eastAsia" w:ascii="Times New Roman" w:hAnsi="Times New Roman" w:eastAsia="仿宋_GB2312" w:cs="Times New Roman"/>
          <w:color w:val="auto"/>
          <w:sz w:val="32"/>
          <w:shd w:val="clear" w:color="auto" w:fill="FFFFFF"/>
          <w:lang w:eastAsia="zh-CN"/>
        </w:rPr>
        <w:t>人员划入下属事业单位</w:t>
      </w:r>
      <w:r>
        <w:rPr>
          <w:rFonts w:hint="eastAsia" w:ascii="仿宋_GB2312" w:hAnsi="黑体" w:eastAsia="仿宋_GB2312"/>
          <w:color w:val="auto"/>
          <w:sz w:val="32"/>
          <w:szCs w:val="32"/>
          <w:lang w:val="en-US" w:eastAsia="zh-CN"/>
        </w:rPr>
        <w:t>所致</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lang w:val="en-US" w:eastAsia="zh-CN"/>
        </w:rPr>
        <w:t>6.卫生健康支出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公务员医疗补助</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392.09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 xml:space="preserve">78.95 </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因正常晋升缴费基数变化</w:t>
      </w:r>
      <w:r>
        <w:rPr>
          <w:rFonts w:hint="eastAsia" w:ascii="仿宋_GB2312" w:hAnsi="黑体" w:eastAsia="仿宋_GB2312"/>
          <w:color w:val="auto"/>
          <w:sz w:val="32"/>
          <w:szCs w:val="32"/>
          <w:lang w:val="en-US" w:eastAsia="zh-CN"/>
        </w:rPr>
        <w:t>所致</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olor w:val="000000" w:themeColor="text1"/>
          <w:sz w:val="32"/>
          <w:szCs w:val="32"/>
          <w:lang w:val="en-US" w:eastAsia="zh-CN"/>
          <w14:textFill>
            <w14:solidFill>
              <w14:schemeClr w14:val="tx1"/>
            </w14:solidFill>
          </w14:textFill>
        </w:rPr>
        <w:t>7.</w:t>
      </w:r>
      <w:r>
        <w:rPr>
          <w:rFonts w:hint="eastAsia" w:ascii="仿宋_GB2312" w:hAnsi="黑体" w:eastAsia="仿宋_GB2312" w:cs="仿宋_GB2312"/>
          <w:sz w:val="32"/>
          <w:szCs w:val="32"/>
          <w:lang w:val="en-US" w:eastAsia="zh-CN"/>
        </w:rPr>
        <w:t>农林水支出（类）林业和草原</w:t>
      </w:r>
      <w:r>
        <w:rPr>
          <w:rFonts w:hint="eastAsia" w:ascii="仿宋_GB2312" w:hAnsi="黑体" w:eastAsia="仿宋_GB2312" w:cs="仿宋_GB2312"/>
          <w:color w:val="000000" w:themeColor="text1"/>
          <w:sz w:val="32"/>
          <w:szCs w:val="32"/>
          <w:lang w:val="en-US" w:eastAsia="zh-CN"/>
          <w14:textFill>
            <w14:solidFill>
              <w14:schemeClr w14:val="tx1"/>
            </w14:solidFill>
          </w14:textFill>
        </w:rPr>
        <w:t>（款）</w:t>
      </w:r>
      <w:r>
        <w:rPr>
          <w:rFonts w:hint="eastAsia" w:ascii="仿宋_GB2312" w:hAnsi="黑体" w:eastAsia="仿宋_GB2312"/>
          <w:color w:val="000000" w:themeColor="text1"/>
          <w:sz w:val="32"/>
          <w:szCs w:val="32"/>
          <w:lang w:val="en-US" w:eastAsia="zh-CN"/>
          <w14:textFill>
            <w14:solidFill>
              <w14:schemeClr w14:val="tx1"/>
            </w14:solidFill>
          </w14:textFill>
        </w:rPr>
        <w:t>森林资源培育</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（项）</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2026</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250.00</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万元，</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val="en-US" w:eastAsia="zh-CN"/>
          <w14:textFill>
            <w14:solidFill>
              <w14:schemeClr w14:val="tx1"/>
            </w14:solidFill>
          </w14:textFill>
        </w:rPr>
        <w:t>增加200</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w:t>
      </w:r>
      <w:r>
        <w:rPr>
          <w:rFonts w:hint="eastAsia" w:ascii="仿宋_GB2312" w:hAnsi="黑体" w:eastAsia="仿宋_GB2312"/>
          <w:color w:val="auto"/>
          <w:sz w:val="32"/>
          <w:szCs w:val="32"/>
          <w:lang w:val="en-US" w:eastAsia="zh-CN"/>
        </w:rPr>
        <w:t>下属单位</w:t>
      </w:r>
      <w:r>
        <w:rPr>
          <w:rFonts w:hint="eastAsia" w:ascii="仿宋_GB2312" w:hAnsi="黑体" w:eastAsia="仿宋_GB2312"/>
          <w:color w:val="auto"/>
          <w:sz w:val="32"/>
          <w:szCs w:val="32"/>
        </w:rPr>
        <w:t>三亚市土地储备整理交易中心</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了</w:t>
      </w:r>
      <w:r>
        <w:rPr>
          <w:rFonts w:hint="eastAsia" w:ascii="仿宋_GB2312" w:hAnsi="黑体" w:eastAsia="仿宋_GB2312"/>
          <w:color w:val="auto"/>
          <w:sz w:val="32"/>
          <w:szCs w:val="32"/>
        </w:rPr>
        <w:t>森林植被</w:t>
      </w:r>
      <w:r>
        <w:rPr>
          <w:rFonts w:hint="eastAsia" w:ascii="仿宋_GB2312" w:hAnsi="黑体" w:eastAsia="仿宋_GB2312"/>
          <w:color w:val="auto"/>
          <w:sz w:val="32"/>
          <w:szCs w:val="32"/>
          <w:lang w:val="en-US" w:eastAsia="zh-CN"/>
        </w:rPr>
        <w:t>项目预算</w:t>
      </w:r>
      <w:r>
        <w:rPr>
          <w:rFonts w:hint="eastAsia" w:ascii="仿宋_GB2312" w:hAnsi="黑体" w:eastAsia="仿宋_GB2312"/>
          <w:color w:val="auto"/>
          <w:sz w:val="32"/>
          <w:szCs w:val="32"/>
          <w:lang w:eastAsia="zh-CN"/>
        </w:rPr>
        <w:t>所致</w:t>
      </w:r>
      <w:r>
        <w:rPr>
          <w:rFonts w:hint="eastAsia" w:ascii="仿宋_GB2312" w:hAnsi="黑体" w:eastAsia="仿宋_GB2312"/>
          <w:color w:val="auto"/>
          <w:sz w:val="32"/>
          <w:szCs w:val="32"/>
          <w:lang w:val="en-US" w:eastAsia="zh-CN"/>
        </w:rPr>
        <w:t>。</w:t>
      </w:r>
    </w:p>
    <w:p>
      <w:pPr>
        <w:ind w:firstLine="640" w:firstLineChars="200"/>
        <w:rPr>
          <w:rFonts w:ascii="仿宋_GB2312" w:hAnsi="黑体" w:eastAsia="仿宋_GB2312"/>
          <w:color w:val="auto"/>
          <w:sz w:val="32"/>
          <w:szCs w:val="32"/>
        </w:rPr>
      </w:pPr>
      <w:r>
        <w:rPr>
          <w:rFonts w:hint="eastAsia" w:ascii="仿宋_GB2312" w:hAnsi="黑体" w:eastAsia="仿宋_GB2312" w:cs="仿宋_GB2312"/>
          <w:sz w:val="32"/>
          <w:szCs w:val="32"/>
          <w:lang w:val="en-US" w:eastAsia="zh-CN"/>
        </w:rPr>
        <w:t>8.自然资源海洋气象等支出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行政运行</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1843.89</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减少163.61</w:t>
      </w:r>
      <w:r>
        <w:rPr>
          <w:rFonts w:hint="eastAsia" w:ascii="仿宋_GB2312" w:hAnsi="黑体" w:eastAsia="仿宋_GB2312"/>
          <w:sz w:val="32"/>
          <w:szCs w:val="32"/>
        </w:rPr>
        <w:t>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原因一</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eastAsia="zh-CN"/>
        </w:rPr>
        <w:t>机构改革局本级规划服务中心</w:t>
      </w:r>
      <w:r>
        <w:rPr>
          <w:rFonts w:hint="eastAsia" w:ascii="Times New Roman" w:hAnsi="Times New Roman" w:eastAsia="仿宋_GB2312" w:cs="Times New Roman"/>
          <w:color w:val="auto"/>
          <w:sz w:val="32"/>
          <w:shd w:val="clear" w:color="auto" w:fill="FFFFFF"/>
          <w:lang w:eastAsia="zh-CN"/>
        </w:rPr>
        <w:t>人员划入下属事业单位，监察支队撤销人员划入局本级；二是严格落实党政机关过紧日子要求，压减公用经费项目预算。</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9.自然资源海洋气象等支出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一般行政管理事务</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1343.21</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w:t>
      </w:r>
      <w:r>
        <w:rPr>
          <w:rFonts w:hint="eastAsia" w:ascii="仿宋_GB2312" w:hAnsi="黑体" w:eastAsia="仿宋_GB2312" w:cs="仿宋_GB2312"/>
          <w:sz w:val="32"/>
          <w:szCs w:val="32"/>
          <w:lang w:val="en-US" w:eastAsia="zh-CN"/>
        </w:rPr>
        <w:t>50.54</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w:t>
      </w:r>
      <w:r>
        <w:rPr>
          <w:rFonts w:hint="eastAsia" w:ascii="仿宋_GB2312" w:hAnsi="黑体" w:eastAsia="仿宋_GB2312"/>
          <w:color w:val="auto"/>
          <w:sz w:val="32"/>
          <w:szCs w:val="32"/>
          <w:lang w:val="en-US" w:eastAsia="zh-CN"/>
        </w:rPr>
        <w:t>雇员经费项目预算增加所致。</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10.自然资源海洋气象等支出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自然资源规划及管理</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6664.08</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390.49</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w:t>
      </w:r>
      <w:r>
        <w:rPr>
          <w:rFonts w:hint="eastAsia" w:ascii="仿宋_GB2312" w:hAnsi="黑体" w:eastAsia="仿宋_GB2312"/>
          <w:color w:val="auto"/>
          <w:sz w:val="32"/>
          <w:szCs w:val="32"/>
        </w:rPr>
        <w:t>自然资源和规划审批调查登记服务</w:t>
      </w:r>
      <w:r>
        <w:rPr>
          <w:rFonts w:hint="eastAsia" w:ascii="仿宋_GB2312" w:hAnsi="黑体" w:eastAsia="仿宋_GB2312"/>
          <w:color w:val="auto"/>
          <w:sz w:val="32"/>
          <w:szCs w:val="32"/>
          <w:lang w:val="en-US" w:eastAsia="zh-CN"/>
        </w:rPr>
        <w:t>项目预算增加所致。</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11.自然资源海洋气象等支出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自然资源利用与保护</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3180.08</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eastAsia="zh-CN"/>
          <w14:textFill>
            <w14:solidFill>
              <w14:schemeClr w14:val="tx1"/>
            </w14:solidFill>
          </w14:textFill>
        </w:rPr>
        <w:t>减少</w:t>
      </w:r>
      <w:r>
        <w:rPr>
          <w:rFonts w:hint="eastAsia" w:ascii="仿宋_GB2312" w:hAnsi="黑体" w:eastAsia="仿宋_GB2312"/>
          <w:color w:val="000000" w:themeColor="text1"/>
          <w:sz w:val="32"/>
          <w:szCs w:val="32"/>
          <w:lang w:val="en-US" w:eastAsia="zh-CN"/>
          <w14:textFill>
            <w14:solidFill>
              <w14:schemeClr w14:val="tx1"/>
            </w14:solidFill>
          </w14:textFill>
        </w:rPr>
        <w:t>42360.92万元，</w:t>
      </w:r>
      <w:r>
        <w:rPr>
          <w:rFonts w:hint="eastAsia" w:ascii="仿宋_GB2312" w:hAnsi="黑体" w:eastAsia="仿宋_GB2312"/>
          <w:color w:val="000000" w:themeColor="text1"/>
          <w:sz w:val="32"/>
          <w:szCs w:val="32"/>
          <w14:textFill>
            <w14:solidFill>
              <w14:schemeClr w14:val="tx1"/>
            </w14:solidFill>
          </w14:textFill>
        </w:rPr>
        <w:t>主要</w:t>
      </w:r>
      <w:r>
        <w:rPr>
          <w:rFonts w:hint="eastAsia" w:ascii="仿宋_GB2312" w:hAnsi="黑体" w:eastAsia="仿宋_GB2312"/>
          <w:color w:val="000000" w:themeColor="text1"/>
          <w:sz w:val="32"/>
          <w:szCs w:val="32"/>
          <w:lang w:eastAsia="zh-CN"/>
          <w14:textFill>
            <w14:solidFill>
              <w14:schemeClr w14:val="tx1"/>
            </w14:solidFill>
          </w14:textFill>
        </w:rPr>
        <w:t>原因一</w:t>
      </w:r>
      <w:r>
        <w:rPr>
          <w:rFonts w:hint="eastAsia" w:ascii="仿宋_GB2312" w:hAnsi="黑体" w:eastAsia="仿宋_GB2312"/>
          <w:color w:val="000000" w:themeColor="text1"/>
          <w:sz w:val="32"/>
          <w:szCs w:val="32"/>
          <w14:textFill>
            <w14:solidFill>
              <w14:schemeClr w14:val="tx1"/>
            </w14:solidFill>
          </w14:textFill>
        </w:rPr>
        <w:t>是</w:t>
      </w:r>
      <w:r>
        <w:rPr>
          <w:rFonts w:hint="eastAsia" w:ascii="仿宋_GB2312" w:hAnsi="黑体" w:eastAsia="仿宋_GB2312"/>
          <w:color w:val="000000" w:themeColor="text1"/>
          <w:sz w:val="32"/>
          <w:szCs w:val="32"/>
          <w:lang w:eastAsia="zh-CN"/>
          <w14:textFill>
            <w14:solidFill>
              <w14:schemeClr w14:val="tx1"/>
            </w14:solidFill>
          </w14:textFill>
        </w:rPr>
        <w:t>减少</w:t>
      </w:r>
      <w:r>
        <w:rPr>
          <w:rFonts w:hint="eastAsia" w:ascii="仿宋_GB2312" w:hAnsi="黑体" w:eastAsia="仿宋_GB2312"/>
          <w:color w:val="000000" w:themeColor="text1"/>
          <w:sz w:val="32"/>
          <w:szCs w:val="32"/>
          <w:lang w:val="en-US" w:eastAsia="zh-CN"/>
          <w14:textFill>
            <w14:solidFill>
              <w14:schemeClr w14:val="tx1"/>
            </w14:solidFill>
          </w14:textFill>
        </w:rPr>
        <w:t>了</w:t>
      </w:r>
      <w:r>
        <w:rPr>
          <w:rFonts w:hint="eastAsia" w:ascii="仿宋_GB2312" w:hAnsi="黑体" w:eastAsia="仿宋_GB2312"/>
          <w:color w:val="auto"/>
          <w:sz w:val="32"/>
          <w:szCs w:val="32"/>
          <w:lang w:val="en-US" w:eastAsia="zh-CN"/>
        </w:rPr>
        <w:t>生态保护和修复项目；二是</w:t>
      </w:r>
      <w:r>
        <w:rPr>
          <w:rFonts w:hint="eastAsia" w:ascii="仿宋_GB2312" w:hAnsi="黑体" w:eastAsia="仿宋_GB2312"/>
          <w:color w:val="auto"/>
          <w:sz w:val="32"/>
          <w:szCs w:val="32"/>
          <w:lang w:eastAsia="zh-CN"/>
        </w:rPr>
        <w:t>海南南部典型热带区域生态系统一体化监测评估能力提升项目预算从</w:t>
      </w:r>
      <w:r>
        <w:rPr>
          <w:rFonts w:hint="eastAsia" w:ascii="仿宋_GB2312" w:hAnsi="黑体" w:eastAsia="仿宋_GB2312" w:cs="仿宋_GB2312"/>
          <w:sz w:val="32"/>
          <w:szCs w:val="32"/>
          <w:lang w:eastAsia="zh-CN"/>
        </w:rPr>
        <w:t>其他自然资源海洋气象等支出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其他自然资源海洋气象等支出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划入</w:t>
      </w:r>
      <w:r>
        <w:rPr>
          <w:rFonts w:hint="eastAsia" w:ascii="仿宋_GB2312" w:hAnsi="黑体" w:eastAsia="仿宋_GB2312"/>
          <w:color w:val="auto"/>
          <w:sz w:val="32"/>
          <w:szCs w:val="32"/>
          <w:lang w:val="en-US" w:eastAsia="zh-CN"/>
        </w:rPr>
        <w:t>所致。</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12.自然资源海洋气象等支出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土地资源储备支出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200.00</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val="en-US" w:eastAsia="zh-CN"/>
          <w14:textFill>
            <w14:solidFill>
              <w14:schemeClr w14:val="tx1"/>
            </w14:solidFill>
          </w14:textFill>
        </w:rPr>
        <w:t>减少41万元，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下属单位三亚市土地储备整理交易中心雇员经费项目2026年计入</w:t>
      </w:r>
      <w:r>
        <w:rPr>
          <w:rFonts w:hint="eastAsia" w:ascii="仿宋_GB2312" w:hAnsi="黑体" w:eastAsia="仿宋_GB2312" w:cs="仿宋_GB2312"/>
          <w:color w:val="auto"/>
          <w:sz w:val="32"/>
          <w:szCs w:val="32"/>
          <w:lang w:eastAsia="zh-CN"/>
        </w:rPr>
        <w:t>其他自然资源事务支出</w:t>
      </w:r>
      <w:r>
        <w:rPr>
          <w:rFonts w:hint="eastAsia" w:ascii="仿宋_GB2312" w:hAnsi="黑体" w:eastAsia="仿宋_GB2312" w:cs="仿宋_GB2312"/>
          <w:color w:val="auto"/>
          <w:sz w:val="32"/>
          <w:szCs w:val="32"/>
        </w:rPr>
        <w:t>（项）</w:t>
      </w:r>
      <w:r>
        <w:rPr>
          <w:rFonts w:hint="eastAsia" w:ascii="仿宋_GB2312" w:hAnsi="黑体" w:eastAsia="仿宋_GB2312"/>
          <w:color w:val="auto"/>
          <w:sz w:val="32"/>
          <w:szCs w:val="32"/>
          <w:lang w:val="en-US" w:eastAsia="zh-CN"/>
        </w:rPr>
        <w:t>所致。</w:t>
      </w:r>
    </w:p>
    <w:p>
      <w:pPr>
        <w:ind w:firstLine="640" w:firstLineChars="200"/>
        <w:rPr>
          <w:rFonts w:hint="eastAsia"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sz w:val="32"/>
          <w:szCs w:val="32"/>
          <w:lang w:val="en-US" w:eastAsia="zh-CN"/>
        </w:rPr>
        <w:t>13.自然资源海洋气象等支出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地质勘查与矿产资源管理</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250.00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w:t>
      </w:r>
      <w:r>
        <w:rPr>
          <w:rFonts w:hint="eastAsia" w:ascii="仿宋_GB2312" w:hAnsi="黑体" w:eastAsia="仿宋_GB2312"/>
          <w:color w:val="auto"/>
          <w:sz w:val="32"/>
          <w:szCs w:val="32"/>
        </w:rPr>
        <w:t>算数</w:t>
      </w:r>
      <w:r>
        <w:rPr>
          <w:rFonts w:hint="eastAsia" w:ascii="仿宋_GB2312" w:hAnsi="黑体" w:eastAsia="仿宋_GB2312"/>
          <w:color w:val="auto"/>
          <w:sz w:val="32"/>
          <w:szCs w:val="32"/>
          <w:lang w:val="en-US" w:eastAsia="zh-CN"/>
        </w:rPr>
        <w:t>持平。</w:t>
      </w:r>
    </w:p>
    <w:p>
      <w:pPr>
        <w:ind w:firstLine="640" w:firstLineChars="200"/>
        <w:rPr>
          <w:rFonts w:hint="eastAsia" w:ascii="Times New Roman" w:hAnsi="Times New Roman" w:eastAsia="仿宋_GB2312" w:cs="Times New Roman"/>
          <w:color w:val="FF0000"/>
          <w:sz w:val="32"/>
          <w:shd w:val="clear" w:color="auto" w:fill="FFFFFF"/>
          <w:lang w:val="en-US" w:eastAsia="zh-CN"/>
        </w:rPr>
      </w:pPr>
      <w:r>
        <w:rPr>
          <w:rFonts w:hint="eastAsia" w:ascii="仿宋_GB2312" w:hAnsi="黑体" w:eastAsia="仿宋_GB2312"/>
          <w:sz w:val="32"/>
          <w:szCs w:val="32"/>
          <w:lang w:val="en-US" w:eastAsia="zh-CN"/>
        </w:rPr>
        <w:t>14.</w:t>
      </w:r>
      <w:r>
        <w:rPr>
          <w:rFonts w:hint="eastAsia" w:ascii="仿宋_GB2312" w:hAnsi="黑体" w:eastAsia="仿宋_GB2312" w:cs="仿宋_GB2312"/>
          <w:sz w:val="32"/>
          <w:szCs w:val="32"/>
          <w:lang w:val="en-US" w:eastAsia="zh-CN"/>
        </w:rPr>
        <w:t>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海域与海岛管理</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346.2</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48.7</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w:t>
      </w:r>
      <w:r>
        <w:rPr>
          <w:rFonts w:hint="eastAsia" w:ascii="仿宋_GB2312" w:hAnsi="黑体" w:eastAsia="仿宋_GB2312"/>
          <w:color w:val="auto"/>
          <w:sz w:val="32"/>
          <w:szCs w:val="32"/>
          <w:lang w:val="en-US" w:eastAsia="zh-CN"/>
        </w:rPr>
        <w:t>海域海岛监管项目预算经费增加</w:t>
      </w:r>
      <w:r>
        <w:rPr>
          <w:rFonts w:hint="eastAsia" w:ascii="Times New Roman" w:hAnsi="Times New Roman" w:eastAsia="仿宋_GB2312" w:cs="Times New Roman"/>
          <w:color w:val="auto"/>
          <w:sz w:val="32"/>
          <w:shd w:val="clear" w:color="auto" w:fill="FFFFFF"/>
          <w:lang w:val="en-US" w:eastAsia="zh-CN"/>
        </w:rPr>
        <w:t>所致。</w:t>
      </w:r>
    </w:p>
    <w:p>
      <w:pPr>
        <w:ind w:firstLine="640" w:firstLineChars="200"/>
        <w:rPr>
          <w:rFonts w:hint="eastAsia" w:ascii="Times New Roman" w:hAnsi="Times New Roman" w:eastAsia="仿宋_GB2312" w:cs="Times New Roman"/>
          <w:color w:val="auto"/>
          <w:sz w:val="32"/>
          <w:shd w:val="clear" w:color="auto" w:fill="FFFFFF"/>
          <w:lang w:val="en-US" w:eastAsia="zh-CN"/>
        </w:rPr>
      </w:pPr>
      <w:r>
        <w:rPr>
          <w:rFonts w:hint="eastAsia" w:ascii="仿宋_GB2312" w:hAnsi="黑体" w:eastAsia="仿宋_GB2312" w:cs="仿宋_GB2312"/>
          <w:color w:val="auto"/>
          <w:sz w:val="32"/>
          <w:szCs w:val="32"/>
          <w:lang w:val="en-US" w:eastAsia="zh-CN"/>
        </w:rPr>
        <w:t>15.自然资源海洋气象等支出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自然资源事务</w:t>
      </w:r>
      <w:r>
        <w:rPr>
          <w:rFonts w:hint="eastAsia" w:ascii="仿宋_GB2312" w:hAnsi="黑体" w:eastAsia="仿宋_GB2312" w:cs="仿宋_GB2312"/>
          <w:color w:val="auto"/>
          <w:sz w:val="32"/>
          <w:szCs w:val="32"/>
        </w:rPr>
        <w:t>（款）</w:t>
      </w:r>
      <w:r>
        <w:rPr>
          <w:rFonts w:hint="eastAsia" w:ascii="Times New Roman" w:hAnsi="Times New Roman" w:eastAsia="仿宋_GB2312" w:cs="Times New Roman"/>
          <w:color w:val="auto"/>
          <w:sz w:val="32"/>
          <w:shd w:val="clear" w:color="auto" w:fill="FFFFFF"/>
          <w:lang w:val="en-US" w:eastAsia="zh-CN"/>
        </w:rPr>
        <w:t>海洋战略规划与预警监测</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2026</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20.00</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减少</w:t>
      </w:r>
      <w:r>
        <w:rPr>
          <w:rFonts w:hint="eastAsia" w:ascii="仿宋_GB2312" w:hAnsi="黑体" w:eastAsia="仿宋_GB2312"/>
          <w:color w:val="auto"/>
          <w:sz w:val="32"/>
          <w:szCs w:val="32"/>
          <w:lang w:val="en-US" w:eastAsia="zh-CN"/>
        </w:rPr>
        <w:t>30万元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海洋灾害防治和评估</w:t>
      </w:r>
      <w:r>
        <w:rPr>
          <w:rFonts w:hint="eastAsia" w:ascii="仿宋_GB2312" w:hAnsi="黑体" w:eastAsia="仿宋_GB2312"/>
          <w:color w:val="auto"/>
          <w:sz w:val="32"/>
          <w:szCs w:val="32"/>
          <w:lang w:val="en-US" w:eastAsia="zh-CN"/>
        </w:rPr>
        <w:t>项目经费</w:t>
      </w:r>
      <w:r>
        <w:rPr>
          <w:rFonts w:hint="eastAsia" w:ascii="仿宋_GB2312" w:hAnsi="黑体" w:eastAsia="仿宋_GB2312"/>
          <w:color w:val="auto"/>
          <w:sz w:val="32"/>
          <w:szCs w:val="32"/>
          <w:lang w:eastAsia="zh-CN"/>
        </w:rPr>
        <w:t>减少</w:t>
      </w:r>
      <w:r>
        <w:rPr>
          <w:rFonts w:hint="eastAsia" w:ascii="Times New Roman" w:hAnsi="Times New Roman" w:eastAsia="仿宋_GB2312" w:cs="Times New Roman"/>
          <w:color w:val="auto"/>
          <w:sz w:val="32"/>
          <w:shd w:val="clear" w:color="auto" w:fill="FFFFFF"/>
          <w:lang w:val="en-US" w:eastAsia="zh-CN"/>
        </w:rPr>
        <w:t>所致。</w:t>
      </w:r>
    </w:p>
    <w:p>
      <w:pPr>
        <w:ind w:firstLine="640" w:firstLineChars="200"/>
        <w:rPr>
          <w:rFonts w:ascii="仿宋_GB2312" w:hAnsi="黑体" w:eastAsia="仿宋_GB2312"/>
          <w:color w:val="auto"/>
          <w:sz w:val="32"/>
          <w:szCs w:val="32"/>
        </w:rPr>
      </w:pPr>
      <w:r>
        <w:rPr>
          <w:rFonts w:hint="eastAsia" w:ascii="仿宋_GB2312" w:hAnsi="黑体" w:eastAsia="仿宋_GB2312" w:cs="仿宋_GB2312"/>
          <w:sz w:val="32"/>
          <w:szCs w:val="32"/>
          <w:lang w:val="en-US" w:eastAsia="zh-CN"/>
        </w:rPr>
        <w:t>16.自然资源海洋气象等支出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事业运行</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color w:val="000000" w:themeColor="text1"/>
          <w:sz w:val="32"/>
          <w:szCs w:val="32"/>
          <w:lang w:val="en-US" w:eastAsia="zh-CN"/>
          <w14:textFill>
            <w14:solidFill>
              <w14:schemeClr w14:val="tx1"/>
            </w14:solidFill>
          </w14:textFill>
        </w:rPr>
        <w:t>026</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2297.73</w:t>
      </w:r>
      <w:r>
        <w:rPr>
          <w:rFonts w:hint="eastAsia" w:ascii="仿宋_GB2312" w:hAnsi="黑体" w:eastAsia="仿宋_GB2312"/>
          <w:color w:val="000000" w:themeColor="text1"/>
          <w:sz w:val="32"/>
          <w:szCs w:val="32"/>
          <w14:textFill>
            <w14:solidFill>
              <w14:schemeClr w14:val="tx1"/>
            </w14:solidFill>
          </w14:textFill>
        </w:rPr>
        <w:t>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831.75</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w:t>
      </w:r>
      <w:r>
        <w:rPr>
          <w:rFonts w:hint="eastAsia" w:ascii="Times New Roman" w:hAnsi="Times New Roman" w:eastAsia="仿宋_GB2312" w:cs="Times New Roman"/>
          <w:color w:val="auto"/>
          <w:sz w:val="32"/>
          <w:shd w:val="clear" w:color="auto" w:fill="FFFFFF"/>
          <w:lang w:eastAsia="zh-CN"/>
        </w:rPr>
        <w:t>因一是</w:t>
      </w:r>
      <w:r>
        <w:rPr>
          <w:rFonts w:hint="eastAsia" w:ascii="仿宋_GB2312" w:hAnsi="黑体" w:eastAsia="仿宋_GB2312"/>
          <w:color w:val="auto"/>
          <w:sz w:val="32"/>
          <w:szCs w:val="32"/>
          <w:lang w:eastAsia="zh-CN"/>
        </w:rPr>
        <w:t>机构改革局本级规划服务中心</w:t>
      </w:r>
      <w:r>
        <w:rPr>
          <w:rFonts w:hint="eastAsia" w:ascii="Times New Roman" w:hAnsi="Times New Roman" w:eastAsia="仿宋_GB2312" w:cs="Times New Roman"/>
          <w:color w:val="auto"/>
          <w:sz w:val="32"/>
          <w:shd w:val="clear" w:color="auto" w:fill="FFFFFF"/>
          <w:lang w:eastAsia="zh-CN"/>
        </w:rPr>
        <w:t>人员划入下属事业单位；二是</w:t>
      </w:r>
      <w:r>
        <w:rPr>
          <w:rFonts w:hint="eastAsia" w:ascii="Times New Roman" w:hAnsi="Times New Roman" w:eastAsia="仿宋_GB2312" w:cs="Times New Roman"/>
          <w:color w:val="auto"/>
          <w:sz w:val="32"/>
          <w:shd w:val="clear" w:color="auto" w:fill="FFFFFF"/>
          <w:lang w:val="en-US" w:eastAsia="zh-CN"/>
        </w:rPr>
        <w:t>人员正常晋升</w:t>
      </w:r>
      <w:r>
        <w:rPr>
          <w:rFonts w:hint="eastAsia" w:ascii="Times New Roman" w:hAnsi="Times New Roman" w:eastAsia="仿宋_GB2312" w:cs="Times New Roman"/>
          <w:color w:val="auto"/>
          <w:sz w:val="32"/>
          <w:shd w:val="clear" w:color="auto" w:fill="FFFFFF"/>
          <w:lang w:eastAsia="zh-CN"/>
        </w:rPr>
        <w:t>预算</w:t>
      </w:r>
      <w:r>
        <w:rPr>
          <w:rFonts w:hint="eastAsia" w:ascii="Times New Roman" w:hAnsi="Times New Roman" w:eastAsia="仿宋_GB2312" w:cs="Times New Roman"/>
          <w:color w:val="auto"/>
          <w:sz w:val="32"/>
          <w:shd w:val="clear" w:color="auto" w:fill="FFFFFF"/>
          <w:lang w:val="en-US" w:eastAsia="zh-CN"/>
        </w:rPr>
        <w:t>增加</w:t>
      </w:r>
      <w:r>
        <w:rPr>
          <w:rFonts w:hint="eastAsia" w:ascii="Times New Roman" w:hAnsi="Times New Roman" w:eastAsia="仿宋_GB2312" w:cs="Times New Roman"/>
          <w:color w:val="auto"/>
          <w:sz w:val="32"/>
          <w:shd w:val="clear" w:color="auto" w:fill="FFFFFF"/>
          <w:lang w:eastAsia="zh-CN"/>
        </w:rPr>
        <w:t>所致。</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17.自然资源海洋气象等支出</w:t>
      </w:r>
      <w:r>
        <w:rPr>
          <w:rFonts w:hint="eastAsia" w:ascii="仿宋_GB2312" w:hAnsi="黑体" w:eastAsia="仿宋_GB2312" w:cs="仿宋_GB2312"/>
          <w:color w:val="000000" w:themeColor="text1"/>
          <w:sz w:val="32"/>
          <w:szCs w:val="32"/>
          <w14:textFill>
            <w14:solidFill>
              <w14:schemeClr w14:val="tx1"/>
            </w14:solidFill>
          </w14:textFill>
        </w:rPr>
        <w:t>（类）</w:t>
      </w:r>
      <w:r>
        <w:rPr>
          <w:rFonts w:hint="eastAsia" w:ascii="仿宋_GB2312" w:hAnsi="黑体" w:eastAsia="仿宋_GB2312" w:cs="仿宋_GB2312"/>
          <w:color w:val="000000" w:themeColor="text1"/>
          <w:sz w:val="32"/>
          <w:szCs w:val="32"/>
          <w:lang w:eastAsia="zh-CN"/>
          <w14:textFill>
            <w14:solidFill>
              <w14:schemeClr w14:val="tx1"/>
            </w14:solidFill>
          </w14:textFill>
        </w:rPr>
        <w:t>自然资源事务</w:t>
      </w:r>
      <w:r>
        <w:rPr>
          <w:rFonts w:hint="eastAsia" w:ascii="仿宋_GB2312" w:hAnsi="黑体" w:eastAsia="仿宋_GB2312" w:cs="仿宋_GB2312"/>
          <w:color w:val="000000" w:themeColor="text1"/>
          <w:sz w:val="32"/>
          <w:szCs w:val="32"/>
          <w14:textFill>
            <w14:solidFill>
              <w14:schemeClr w14:val="tx1"/>
            </w14:solidFill>
          </w14:textFill>
        </w:rPr>
        <w:t>（款）</w:t>
      </w:r>
      <w:r>
        <w:rPr>
          <w:rFonts w:hint="eastAsia" w:ascii="仿宋_GB2312" w:hAnsi="黑体" w:eastAsia="仿宋_GB2312" w:cs="仿宋_GB2312"/>
          <w:color w:val="000000" w:themeColor="text1"/>
          <w:sz w:val="32"/>
          <w:szCs w:val="32"/>
          <w:lang w:eastAsia="zh-CN"/>
          <w14:textFill>
            <w14:solidFill>
              <w14:schemeClr w14:val="tx1"/>
            </w14:solidFill>
          </w14:textFill>
        </w:rPr>
        <w:t>其他自然资源事务支出</w:t>
      </w:r>
      <w:r>
        <w:rPr>
          <w:rFonts w:hint="eastAsia" w:ascii="仿宋_GB2312" w:hAnsi="黑体" w:eastAsia="仿宋_GB2312" w:cs="仿宋_GB2312"/>
          <w:color w:val="000000" w:themeColor="text1"/>
          <w:sz w:val="32"/>
          <w:szCs w:val="32"/>
          <w14:textFill>
            <w14:solidFill>
              <w14:schemeClr w14:val="tx1"/>
            </w14:solidFill>
          </w14:textFill>
        </w:rPr>
        <w:t>（项）</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2026</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2822.78</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36.26</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下属单位三亚市土地储备整理交易中心雇员经费项目2026年从</w:t>
      </w:r>
      <w:r>
        <w:rPr>
          <w:rFonts w:hint="eastAsia" w:ascii="仿宋_GB2312" w:hAnsi="黑体" w:eastAsia="仿宋_GB2312" w:cs="仿宋_GB2312"/>
          <w:color w:val="auto"/>
          <w:sz w:val="32"/>
          <w:szCs w:val="32"/>
          <w:lang w:eastAsia="zh-CN"/>
        </w:rPr>
        <w:t>土地资源储备支出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eastAsia="zh-CN"/>
        </w:rPr>
        <w:t>调整过来</w:t>
      </w:r>
      <w:r>
        <w:rPr>
          <w:rFonts w:hint="eastAsia" w:ascii="仿宋_GB2312" w:hAnsi="黑体" w:eastAsia="仿宋_GB2312"/>
          <w:color w:val="auto"/>
          <w:sz w:val="32"/>
          <w:szCs w:val="32"/>
          <w:lang w:val="en-US" w:eastAsia="zh-CN"/>
        </w:rPr>
        <w:t>所致。</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18.自然资源海洋气象等支出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其他自然资源海洋气象等支出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其他自然资源海洋气象等支出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10.8</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1092.32</w:t>
      </w:r>
      <w:r>
        <w:rPr>
          <w:rFonts w:hint="eastAsia" w:ascii="仿宋_GB2312" w:hAnsi="黑体" w:eastAsia="仿宋_GB2312"/>
          <w:sz w:val="32"/>
          <w:szCs w:val="32"/>
        </w:rPr>
        <w:t>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是海南南部典型热带区域生态系统一体化监测评估能力提升项目预算划入</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自然资源利用与保护</w:t>
      </w:r>
      <w:r>
        <w:rPr>
          <w:rFonts w:hint="eastAsia" w:ascii="仿宋_GB2312" w:hAnsi="黑体" w:eastAsia="仿宋_GB2312" w:cs="仿宋_GB2312"/>
          <w:sz w:val="32"/>
          <w:szCs w:val="32"/>
        </w:rPr>
        <w:t>（项）</w:t>
      </w:r>
      <w:r>
        <w:rPr>
          <w:rFonts w:hint="eastAsia" w:ascii="仿宋_GB2312" w:hAnsi="黑体" w:eastAsia="仿宋_GB2312"/>
          <w:color w:val="auto"/>
          <w:sz w:val="32"/>
          <w:szCs w:val="32"/>
          <w:lang w:val="en-US" w:eastAsia="zh-CN"/>
        </w:rPr>
        <w:t>所</w:t>
      </w:r>
      <w:r>
        <w:rPr>
          <w:rFonts w:hint="eastAsia" w:ascii="Times New Roman" w:hAnsi="Times New Roman" w:eastAsia="仿宋_GB2312" w:cs="Times New Roman"/>
          <w:color w:val="auto"/>
          <w:sz w:val="32"/>
          <w:shd w:val="clear" w:color="auto" w:fill="FFFFFF"/>
          <w:lang w:val="en-US" w:eastAsia="zh-CN"/>
        </w:rPr>
        <w:t>致。</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lang w:val="en-US" w:eastAsia="zh-CN"/>
        </w:rPr>
        <w:t>19.住房保障支出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住房改革支出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396.71</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91.49</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因正常晋升缴费基数变化</w:t>
      </w:r>
      <w:r>
        <w:rPr>
          <w:rFonts w:hint="eastAsia" w:ascii="仿宋_GB2312" w:hAnsi="黑体" w:eastAsia="仿宋_GB2312"/>
          <w:color w:val="auto"/>
          <w:sz w:val="32"/>
          <w:szCs w:val="32"/>
          <w:lang w:val="en-US" w:eastAsia="zh-CN"/>
        </w:rPr>
        <w:t>所致</w:t>
      </w:r>
      <w:r>
        <w:rPr>
          <w:rFonts w:hint="eastAsia" w:ascii="仿宋_GB2312" w:hAnsi="黑体" w:eastAsia="仿宋_GB2312"/>
          <w:color w:val="auto"/>
          <w:sz w:val="32"/>
          <w:szCs w:val="32"/>
          <w:lang w:eastAsia="zh-CN"/>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2026</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2026</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5749.92</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5317.17</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eastAsia="zh-CN"/>
        </w:rPr>
        <w:t>绩效工资、邮电费、其他交通费用、</w:t>
      </w:r>
      <w:r>
        <w:rPr>
          <w:rFonts w:hint="eastAsia" w:ascii="仿宋_GB2312" w:hAnsi="黑体" w:eastAsia="仿宋_GB2312"/>
          <w:sz w:val="32"/>
          <w:szCs w:val="32"/>
        </w:rPr>
        <w:t>社会保障缴费、</w:t>
      </w:r>
      <w:r>
        <w:rPr>
          <w:rFonts w:hint="eastAsia" w:ascii="仿宋_GB2312" w:hAnsi="黑体" w:eastAsia="仿宋_GB2312"/>
          <w:sz w:val="32"/>
          <w:szCs w:val="32"/>
          <w:lang w:eastAsia="zh-CN"/>
        </w:rPr>
        <w:t>住房公积金、对个人和家庭的补助等；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432.75</w:t>
      </w:r>
      <w:r>
        <w:rPr>
          <w:rFonts w:hint="eastAsia" w:ascii="仿宋_GB2312" w:hAnsi="黑体" w:eastAsia="仿宋_GB2312"/>
          <w:sz w:val="32"/>
          <w:szCs w:val="32"/>
        </w:rPr>
        <w:t>万元，主要包括：办公费、</w:t>
      </w:r>
      <w:r>
        <w:rPr>
          <w:rFonts w:hint="eastAsia" w:ascii="仿宋_GB2312" w:hAnsi="黑体" w:eastAsia="仿宋_GB2312"/>
          <w:sz w:val="32"/>
          <w:szCs w:val="32"/>
          <w:lang w:eastAsia="zh-CN"/>
        </w:rPr>
        <w:t>会议费、培训费、工会经费、福利费、公务用车运行维护费、其他商品和服务支出</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2026</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2026</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26.96</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color w:val="000000" w:themeColor="text1"/>
          <w:sz w:val="32"/>
          <w:shd w:val="clear" w:color="auto" w:fill="FFFFFF"/>
          <w14:textFill>
            <w14:solidFill>
              <w14:schemeClr w14:val="tx1"/>
            </w14:solidFill>
          </w14:textFill>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lang w:val="en-US" w:eastAsia="zh-CN"/>
        </w:rPr>
        <w:t>2</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持平</w:t>
      </w:r>
      <w:r>
        <w:rPr>
          <w:rFonts w:ascii="Times New Roman" w:hAnsi="Times New Roman" w:eastAsia="仿宋_GB2312" w:cs="Times New Roman"/>
          <w:sz w:val="32"/>
          <w:shd w:val="clear" w:color="auto" w:fill="FFFFFF"/>
        </w:rPr>
        <w:t>。</w:t>
      </w:r>
      <w:r>
        <w:rPr>
          <w:rFonts w:ascii="Times New Roman" w:hAnsi="Times New Roman" w:eastAsia="仿宋_GB2312" w:cs="Times New Roman"/>
          <w:color w:val="auto"/>
          <w:sz w:val="32"/>
          <w:shd w:val="clear" w:color="auto" w:fill="FFFFFF"/>
        </w:rPr>
        <w:t>拟安排出国（境）组</w:t>
      </w:r>
      <w:r>
        <w:rPr>
          <w:rFonts w:hint="eastAsia" w:ascii="Times New Roman" w:hAnsi="Times New Roman" w:eastAsia="仿宋_GB2312" w:cs="Times New Roman"/>
          <w:color w:val="auto"/>
          <w:sz w:val="32"/>
          <w:shd w:val="clear" w:color="auto" w:fill="FFFFFF"/>
          <w:lang w:val="en-US" w:eastAsia="zh-CN"/>
        </w:rPr>
        <w:t>1</w:t>
      </w:r>
      <w:r>
        <w:rPr>
          <w:rFonts w:ascii="Times New Roman" w:hAnsi="Times New Roman" w:eastAsia="仿宋_GB2312" w:cs="Times New Roman"/>
          <w:color w:val="auto"/>
          <w:sz w:val="32"/>
          <w:shd w:val="clear" w:color="auto" w:fill="FFFFFF"/>
        </w:rPr>
        <w:t>次，出国（境）</w:t>
      </w:r>
      <w:r>
        <w:rPr>
          <w:rFonts w:hint="eastAsia" w:ascii="Times New Roman" w:hAnsi="Times New Roman" w:eastAsia="仿宋_GB2312" w:cs="Times New Roman"/>
          <w:color w:val="auto"/>
          <w:sz w:val="32"/>
          <w:shd w:val="clear" w:color="auto" w:fill="FFFFFF"/>
          <w:lang w:val="en-US" w:eastAsia="zh-CN"/>
        </w:rPr>
        <w:t>1</w:t>
      </w:r>
      <w:r>
        <w:rPr>
          <w:rFonts w:ascii="Times New Roman" w:hAnsi="Times New Roman" w:eastAsia="仿宋_GB2312" w:cs="Times New Roman"/>
          <w:color w:val="auto"/>
          <w:sz w:val="32"/>
          <w:shd w:val="clear" w:color="auto" w:fill="FFFFFF"/>
        </w:rPr>
        <w:t>人。出国（境）团组：主要任务</w:t>
      </w:r>
      <w:r>
        <w:rPr>
          <w:rFonts w:hint="eastAsia" w:ascii="Times New Roman" w:hAnsi="Times New Roman" w:eastAsia="仿宋_GB2312" w:cs="Times New Roman"/>
          <w:color w:val="auto"/>
          <w:sz w:val="32"/>
          <w:shd w:val="clear" w:color="auto" w:fill="FFFFFF"/>
          <w:lang w:val="en-US" w:eastAsia="zh-CN"/>
        </w:rPr>
        <w:t>围绕城市更新和清凉城市建设等重点任务开展调研</w:t>
      </w:r>
      <w:r>
        <w:rPr>
          <w:rFonts w:ascii="Times New Roman" w:hAnsi="Times New Roman" w:eastAsia="仿宋_GB2312" w:cs="Times New Roman"/>
          <w:color w:val="auto"/>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18.82</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18.82</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比</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数减少</w:t>
      </w:r>
      <w:r>
        <w:rPr>
          <w:rFonts w:hint="eastAsia" w:ascii="Times New Roman" w:hAnsi="Times New Roman" w:eastAsia="仿宋_GB2312" w:cs="Times New Roman"/>
          <w:sz w:val="32"/>
          <w:shd w:val="clear" w:color="auto" w:fill="FFFFFF"/>
          <w:lang w:val="en-US" w:eastAsia="zh-CN"/>
        </w:rPr>
        <w:t>6.29万元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color w:val="auto"/>
          <w:sz w:val="32"/>
          <w:shd w:val="clear" w:color="auto" w:fill="FFFFFF"/>
        </w:rPr>
        <w:t>公务车保有量</w:t>
      </w:r>
      <w:r>
        <w:rPr>
          <w:rFonts w:hint="eastAsia" w:ascii="Times New Roman" w:hAnsi="Times New Roman" w:eastAsia="仿宋_GB2312" w:cs="Times New Roman"/>
          <w:color w:val="auto"/>
          <w:sz w:val="32"/>
          <w:shd w:val="clear" w:color="auto" w:fill="FFFFFF"/>
          <w:lang w:val="en-US" w:eastAsia="zh-CN"/>
        </w:rPr>
        <w:t>15</w:t>
      </w:r>
      <w:r>
        <w:rPr>
          <w:rFonts w:hint="eastAsia" w:ascii="仿宋_GB2312" w:hAnsi="黑体" w:eastAsia="仿宋_GB2312" w:cs="仿宋_GB2312"/>
          <w:color w:val="auto"/>
          <w:sz w:val="32"/>
          <w:szCs w:val="32"/>
        </w:rPr>
        <w:t>辆，计划购置</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w:t>
      </w:r>
      <w:r>
        <w:rPr>
          <w:rFonts w:hint="eastAsia" w:ascii="仿宋_GB2312" w:hAnsi="黑体" w:eastAsia="仿宋_GB2312" w:cs="仿宋_GB2312"/>
          <w:color w:val="auto"/>
          <w:sz w:val="32"/>
          <w:szCs w:val="32"/>
          <w:lang w:eastAsia="zh-CN"/>
        </w:rPr>
        <w:t>。</w:t>
      </w:r>
      <w:r>
        <w:rPr>
          <w:rFonts w:ascii="仿宋_GB2312" w:hAnsi="黑体" w:eastAsia="仿宋_GB2312" w:cs="Times New Roman"/>
          <w:sz w:val="32"/>
          <w:szCs w:val="32"/>
        </w:rPr>
        <w:t>公务接待费</w:t>
      </w:r>
      <w:r>
        <w:rPr>
          <w:rFonts w:hint="eastAsia" w:ascii="仿宋_GB2312" w:hAnsi="黑体" w:eastAsia="仿宋_GB2312" w:cs="Times New Roman"/>
          <w:sz w:val="32"/>
          <w:szCs w:val="32"/>
          <w:lang w:val="en-US" w:eastAsia="zh-CN"/>
        </w:rPr>
        <w:t>6.15</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lang w:eastAsia="zh-CN"/>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持平</w:t>
      </w:r>
      <w:r>
        <w:rPr>
          <w:rFonts w:ascii="Times New Roman" w:hAnsi="Times New Roman" w:eastAsia="仿宋_GB2312" w:cs="Times New Roman"/>
          <w:color w:val="000000" w:themeColor="text1"/>
          <w:sz w:val="32"/>
          <w:shd w:val="clear" w:color="auto" w:fill="FFFFFF"/>
          <w14:textFill>
            <w14:solidFill>
              <w14:schemeClr w14:val="tx1"/>
            </w14:solidFill>
          </w14:textFill>
        </w:rPr>
        <w:t>。</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计划接待</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60</w:t>
      </w:r>
      <w:r>
        <w:rPr>
          <w:rFonts w:hint="eastAsia" w:ascii="仿宋_GB2312" w:hAnsi="黑体" w:eastAsia="仿宋_GB2312" w:cs="仿宋_GB2312"/>
          <w:color w:val="000000" w:themeColor="text1"/>
          <w:sz w:val="32"/>
          <w:szCs w:val="32"/>
          <w14:textFill>
            <w14:solidFill>
              <w14:schemeClr w14:val="tx1"/>
            </w14:solidFill>
          </w14:textFill>
        </w:rPr>
        <w:t>批</w:t>
      </w:r>
      <w:r>
        <w:rPr>
          <w:rFonts w:hint="eastAsia" w:ascii="仿宋_GB2312" w:hAnsi="黑体" w:eastAsia="仿宋_GB2312" w:cs="仿宋_GB2312"/>
          <w:color w:val="000000" w:themeColor="text1"/>
          <w:sz w:val="32"/>
          <w:szCs w:val="32"/>
          <w:lang w:val="en-US" w:eastAsia="zh-CN"/>
          <w14:textFill>
            <w14:solidFill>
              <w14:schemeClr w14:val="tx1"/>
            </w14:solidFill>
          </w14:textFill>
        </w:rPr>
        <w:t>470</w:t>
      </w:r>
      <w:r>
        <w:rPr>
          <w:rFonts w:hint="eastAsia" w:ascii="仿宋_GB2312" w:hAnsi="黑体" w:eastAsia="仿宋_GB2312" w:cs="仿宋_GB2312"/>
          <w:color w:val="000000" w:themeColor="text1"/>
          <w:sz w:val="32"/>
          <w:szCs w:val="32"/>
          <w14:textFill>
            <w14:solidFill>
              <w14:schemeClr w14:val="tx1"/>
            </w14:solidFill>
          </w14:textFill>
        </w:rPr>
        <w:t>人</w:t>
      </w:r>
      <w:r>
        <w:rPr>
          <w:rFonts w:hint="eastAsia" w:ascii="仿宋_GB2312" w:hAnsi="黑体" w:eastAsia="仿宋_GB2312" w:cs="仿宋_GB2312"/>
          <w:color w:val="000000" w:themeColor="text1"/>
          <w:sz w:val="32"/>
          <w:szCs w:val="32"/>
          <w:lang w:eastAsia="zh-CN"/>
          <w14:textFill>
            <w14:solidFill>
              <w14:schemeClr w14:val="tx1"/>
            </w14:solidFill>
          </w14:textFill>
        </w:rPr>
        <w:t>次</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三亚市自然资源和规划局（部门）</w:t>
      </w:r>
      <w:r>
        <w:rPr>
          <w:rFonts w:hint="eastAsia" w:ascii="仿宋_GB2312" w:hAnsi="黑体" w:eastAsia="仿宋_GB2312"/>
          <w:sz w:val="32"/>
          <w:szCs w:val="32"/>
          <w:lang w:val="en-US" w:eastAsia="zh-CN"/>
        </w:rPr>
        <w:t>2026</w:t>
      </w:r>
      <w:r>
        <w:rPr>
          <w:rFonts w:hint="eastAsia" w:ascii="仿宋_GB2312" w:hAnsi="黑体" w:eastAsia="仿宋_GB2312"/>
          <w:sz w:val="32"/>
          <w:szCs w:val="32"/>
          <w:lang w:eastAsia="zh-CN"/>
        </w:rPr>
        <w:t>年政府性</w:t>
      </w:r>
      <w:r>
        <w:rPr>
          <w:rFonts w:hint="eastAsia" w:ascii="仿宋_GB2312" w:hAnsi="黑体" w:eastAsia="仿宋_GB2312"/>
          <w:sz w:val="32"/>
          <w:szCs w:val="32"/>
        </w:rPr>
        <w:t>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left="0" w:firstLine="0" w:firstLineChars="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2026年无出国计划安排。</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Times New Roman"/>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2026</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2026</w:t>
      </w:r>
      <w:r>
        <w:rPr>
          <w:rFonts w:hint="eastAsia" w:ascii="仿宋_GB2312" w:hAnsi="黑体" w:eastAsia="仿宋_GB2312"/>
          <w:sz w:val="32"/>
          <w:szCs w:val="32"/>
        </w:rPr>
        <w:t>年政府性基金预算当年拨款</w:t>
      </w:r>
      <w:r>
        <w:rPr>
          <w:rFonts w:hint="eastAsia" w:ascii="仿宋_GB2312" w:hAnsi="黑体" w:eastAsia="仿宋_GB2312"/>
          <w:sz w:val="32"/>
          <w:szCs w:val="32"/>
          <w:lang w:val="en-US" w:eastAsia="zh-CN"/>
        </w:rPr>
        <w:t>188842.35</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val="en-US" w:eastAsia="zh-CN"/>
        </w:rPr>
        <w:t>减少24638.17万元，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一</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lang w:val="en-US" w:eastAsia="zh-CN"/>
        </w:rPr>
        <w:t>减少</w:t>
      </w:r>
      <w:r>
        <w:rPr>
          <w:rFonts w:hint="eastAsia" w:ascii="仿宋_GB2312" w:hAnsi="黑体" w:eastAsia="仿宋_GB2312"/>
          <w:color w:val="auto"/>
          <w:sz w:val="32"/>
          <w:szCs w:val="32"/>
          <w:lang w:eastAsia="zh-CN"/>
        </w:rPr>
        <w:t>耕地占补平衡指标购买</w:t>
      </w:r>
      <w:bookmarkStart w:id="9" w:name="_GoBack"/>
      <w:bookmarkEnd w:id="9"/>
      <w:r>
        <w:rPr>
          <w:rFonts w:hint="eastAsia" w:ascii="仿宋_GB2312" w:hAnsi="黑体" w:eastAsia="仿宋_GB2312"/>
          <w:color w:val="auto"/>
          <w:sz w:val="32"/>
          <w:szCs w:val="32"/>
          <w:lang w:eastAsia="zh-CN"/>
        </w:rPr>
        <w:t>资金</w:t>
      </w:r>
      <w:r>
        <w:rPr>
          <w:rFonts w:hint="eastAsia" w:ascii="仿宋_GB2312" w:hAnsi="黑体" w:eastAsia="仿宋_GB2312"/>
          <w:color w:val="auto"/>
          <w:sz w:val="32"/>
          <w:szCs w:val="32"/>
          <w:lang w:val="en-US" w:eastAsia="zh-CN"/>
        </w:rPr>
        <w:t>预算，二是土地储备专项资金项目、</w:t>
      </w:r>
      <w:r>
        <w:rPr>
          <w:rFonts w:hint="eastAsia" w:ascii="仿宋_GB2312" w:hAnsi="黑体" w:eastAsia="仿宋_GB2312"/>
          <w:color w:val="auto"/>
          <w:sz w:val="32"/>
          <w:szCs w:val="32"/>
          <w:lang w:eastAsia="zh-CN"/>
        </w:rPr>
        <w:t>国有建设用地出让合同印花税</w:t>
      </w:r>
      <w:r>
        <w:rPr>
          <w:rFonts w:hint="eastAsia" w:ascii="仿宋_GB2312" w:hAnsi="黑体" w:eastAsia="仿宋_GB2312"/>
          <w:color w:val="auto"/>
          <w:sz w:val="32"/>
          <w:szCs w:val="32"/>
          <w:lang w:val="en-US" w:eastAsia="zh-CN"/>
        </w:rPr>
        <w:t>、下属单位三亚市土地储备整理交易中心新增耕地指标收储资金项目预算减少所致</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城乡社区支出188842.35</w:t>
      </w:r>
      <w:r>
        <w:rPr>
          <w:rFonts w:hint="eastAsia" w:ascii="仿宋_GB2312" w:hAnsi="黑体" w:eastAsia="仿宋_GB2312"/>
          <w:sz w:val="32"/>
          <w:szCs w:val="32"/>
          <w:lang w:val="en-US" w:eastAsia="zh-CN"/>
        </w:rPr>
        <w:t>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城乡社区支出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国有土地使用权出让收入安排的支出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征地和拆迁补偿支出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110,137.21</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137.21</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因增加了</w:t>
      </w:r>
      <w:r>
        <w:rPr>
          <w:rFonts w:hint="eastAsia" w:ascii="仿宋_GB2312" w:hAnsi="黑体" w:eastAsia="仿宋_GB2312"/>
          <w:color w:val="auto"/>
          <w:sz w:val="32"/>
          <w:szCs w:val="32"/>
          <w:lang w:val="en-US" w:eastAsia="zh-CN"/>
        </w:rPr>
        <w:t>收回国有土地补偿费项目预算所致</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lang w:val="en-US" w:eastAsia="zh-CN"/>
        </w:rPr>
        <w:t>2.城乡社区支出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国有土地使用权出让收入安排的</w:t>
      </w:r>
      <w:r>
        <w:rPr>
          <w:rFonts w:hint="eastAsia" w:ascii="仿宋_GB2312" w:hAnsi="黑体" w:eastAsia="仿宋_GB2312" w:cs="仿宋_GB2312"/>
          <w:sz w:val="32"/>
          <w:szCs w:val="32"/>
          <w:lang w:eastAsia="zh-CN"/>
        </w:rPr>
        <w:t>支</w:t>
      </w:r>
      <w:r>
        <w:rPr>
          <w:rFonts w:hint="eastAsia" w:ascii="仿宋_GB2312" w:hAnsi="黑体" w:eastAsia="仿宋_GB2312" w:cs="仿宋_GB2312"/>
          <w:color w:val="000000" w:themeColor="text1"/>
          <w:sz w:val="32"/>
          <w:szCs w:val="32"/>
          <w:lang w:eastAsia="zh-CN"/>
          <w14:textFill>
            <w14:solidFill>
              <w14:schemeClr w14:val="tx1"/>
            </w14:solidFill>
          </w14:textFill>
        </w:rPr>
        <w:t>出</w:t>
      </w:r>
      <w:r>
        <w:rPr>
          <w:rFonts w:hint="eastAsia" w:ascii="仿宋_GB2312" w:hAnsi="黑体" w:eastAsia="仿宋_GB2312" w:cs="仿宋_GB2312"/>
          <w:color w:val="000000" w:themeColor="text1"/>
          <w:sz w:val="32"/>
          <w:szCs w:val="32"/>
          <w14:textFill>
            <w14:solidFill>
              <w14:schemeClr w14:val="tx1"/>
            </w14:solidFill>
          </w14:textFill>
        </w:rPr>
        <w:t>（款）</w:t>
      </w:r>
      <w:r>
        <w:rPr>
          <w:rFonts w:hint="eastAsia" w:ascii="仿宋_GB2312" w:hAnsi="黑体" w:eastAsia="仿宋_GB2312"/>
          <w:color w:val="000000" w:themeColor="text1"/>
          <w:sz w:val="32"/>
          <w:szCs w:val="32"/>
          <w:lang w:eastAsia="zh-CN"/>
          <w14:textFill>
            <w14:solidFill>
              <w14:schemeClr w14:val="tx1"/>
            </w14:solidFill>
          </w14:textFill>
        </w:rPr>
        <w:t>农业生产发展支出（</w:t>
      </w:r>
      <w:r>
        <w:rPr>
          <w:rFonts w:hint="eastAsia" w:ascii="仿宋_GB2312" w:hAnsi="黑体" w:eastAsia="仿宋_GB2312"/>
          <w:color w:val="000000" w:themeColor="text1"/>
          <w:sz w:val="32"/>
          <w:szCs w:val="32"/>
          <w:lang w:val="en-US" w:eastAsia="zh-CN"/>
          <w14:textFill>
            <w14:solidFill>
              <w14:schemeClr w14:val="tx1"/>
            </w14:solidFill>
          </w14:textFill>
        </w:rPr>
        <w:t>项）</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2026</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205</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205</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增加了</w:t>
      </w:r>
      <w:r>
        <w:rPr>
          <w:rFonts w:hint="eastAsia" w:ascii="仿宋_GB2312" w:hAnsi="黑体" w:eastAsia="仿宋_GB2312"/>
          <w:color w:val="auto"/>
          <w:sz w:val="32"/>
          <w:szCs w:val="32"/>
        </w:rPr>
        <w:t>耕地“非粮化”整改复耕资金</w:t>
      </w:r>
      <w:r>
        <w:rPr>
          <w:rFonts w:hint="eastAsia" w:ascii="仿宋_GB2312" w:hAnsi="黑体" w:eastAsia="仿宋_GB2312"/>
          <w:color w:val="auto"/>
          <w:sz w:val="32"/>
          <w:szCs w:val="32"/>
          <w:lang w:eastAsia="zh-CN"/>
        </w:rPr>
        <w:t>预算</w:t>
      </w:r>
      <w:r>
        <w:rPr>
          <w:rFonts w:hint="eastAsia" w:ascii="仿宋_GB2312" w:hAnsi="黑体" w:eastAsia="仿宋_GB2312"/>
          <w:color w:val="auto"/>
          <w:sz w:val="32"/>
          <w:szCs w:val="32"/>
          <w:lang w:val="en-US" w:eastAsia="zh-CN"/>
        </w:rPr>
        <w:t>所致</w:t>
      </w:r>
      <w:r>
        <w:rPr>
          <w:rFonts w:hint="eastAsia" w:ascii="仿宋_GB2312" w:hAnsi="黑体" w:eastAsia="仿宋_GB2312"/>
          <w:color w:val="auto"/>
          <w:sz w:val="32"/>
          <w:szCs w:val="32"/>
          <w:lang w:eastAsia="zh-CN"/>
        </w:rPr>
        <w:t>。</w:t>
      </w:r>
    </w:p>
    <w:p>
      <w:pPr>
        <w:ind w:firstLine="640" w:firstLineChars="200"/>
        <w:rPr>
          <w:rFonts w:ascii="仿宋_GB2312" w:hAnsi="黑体" w:eastAsia="仿宋_GB2312"/>
          <w:color w:val="auto"/>
          <w:sz w:val="32"/>
          <w:szCs w:val="32"/>
        </w:rPr>
      </w:pPr>
      <w:r>
        <w:rPr>
          <w:rFonts w:hint="eastAsia" w:ascii="仿宋_GB2312" w:hAnsi="黑体" w:eastAsia="仿宋_GB2312" w:cs="仿宋_GB2312"/>
          <w:sz w:val="32"/>
          <w:szCs w:val="32"/>
          <w:lang w:val="en-US" w:eastAsia="zh-CN"/>
        </w:rPr>
        <w:t>3.城乡社区支出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国有土地使用权出让收入安排的支</w:t>
      </w:r>
      <w:r>
        <w:rPr>
          <w:rFonts w:hint="eastAsia" w:ascii="仿宋_GB2312" w:hAnsi="黑体" w:eastAsia="仿宋_GB2312" w:cs="仿宋_GB2312"/>
          <w:color w:val="000000" w:themeColor="text1"/>
          <w:sz w:val="32"/>
          <w:szCs w:val="32"/>
          <w:lang w:eastAsia="zh-CN"/>
          <w14:textFill>
            <w14:solidFill>
              <w14:schemeClr w14:val="tx1"/>
            </w14:solidFill>
          </w14:textFill>
        </w:rPr>
        <w:t>出</w:t>
      </w:r>
      <w:r>
        <w:rPr>
          <w:rFonts w:hint="eastAsia" w:ascii="仿宋_GB2312" w:hAnsi="黑体" w:eastAsia="仿宋_GB2312" w:cs="仿宋_GB2312"/>
          <w:color w:val="000000" w:themeColor="text1"/>
          <w:sz w:val="32"/>
          <w:szCs w:val="32"/>
          <w14:textFill>
            <w14:solidFill>
              <w14:schemeClr w14:val="tx1"/>
            </w14:solidFill>
          </w14:textFill>
        </w:rPr>
        <w:t>（款）</w:t>
      </w:r>
      <w:r>
        <w:rPr>
          <w:rFonts w:hint="eastAsia" w:ascii="仿宋_GB2312" w:hAnsi="黑体" w:eastAsia="仿宋_GB2312"/>
          <w:color w:val="000000" w:themeColor="text1"/>
          <w:sz w:val="32"/>
          <w:szCs w:val="32"/>
          <w:lang w:eastAsia="zh-CN"/>
          <w14:textFill>
            <w14:solidFill>
              <w14:schemeClr w14:val="tx1"/>
            </w14:solidFill>
          </w14:textFill>
        </w:rPr>
        <w:t>其他国有土地使用权出让收入安排的支出（</w:t>
      </w:r>
      <w:r>
        <w:rPr>
          <w:rFonts w:hint="eastAsia" w:ascii="仿宋_GB2312" w:hAnsi="黑体" w:eastAsia="仿宋_GB2312"/>
          <w:color w:val="000000" w:themeColor="text1"/>
          <w:sz w:val="32"/>
          <w:szCs w:val="32"/>
          <w:lang w:val="en-US" w:eastAsia="zh-CN"/>
          <w14:textFill>
            <w14:solidFill>
              <w14:schemeClr w14:val="tx1"/>
            </w14:solidFill>
          </w14:textFill>
        </w:rPr>
        <w:t>项）</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2026</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78500.14</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9743.38</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auto"/>
          <w:sz w:val="32"/>
          <w:szCs w:val="32"/>
        </w:rPr>
        <w:t>主要是国有建设用地出让合同印花</w:t>
      </w:r>
      <w:r>
        <w:rPr>
          <w:rFonts w:hint="eastAsia" w:ascii="仿宋_GB2312" w:hAnsi="黑体" w:eastAsia="仿宋_GB2312"/>
          <w:color w:val="auto"/>
          <w:sz w:val="32"/>
          <w:szCs w:val="32"/>
          <w:lang w:eastAsia="zh-CN"/>
        </w:rPr>
        <w:t>税、下</w:t>
      </w:r>
      <w:r>
        <w:rPr>
          <w:rFonts w:hint="eastAsia" w:ascii="仿宋_GB2312" w:hAnsi="黑体" w:eastAsia="仿宋_GB2312"/>
          <w:color w:val="auto"/>
          <w:sz w:val="32"/>
          <w:szCs w:val="32"/>
          <w:lang w:val="en-US" w:eastAsia="zh-CN"/>
        </w:rPr>
        <w:t>属单位三亚市土地储备整理交易中心</w:t>
      </w:r>
      <w:r>
        <w:rPr>
          <w:rFonts w:hint="eastAsia" w:ascii="仿宋_GB2312" w:hAnsi="黑体" w:eastAsia="仿宋_GB2312"/>
          <w:color w:val="auto"/>
          <w:sz w:val="32"/>
          <w:szCs w:val="32"/>
          <w:lang w:eastAsia="zh-CN"/>
        </w:rPr>
        <w:t>新增耕地指标收储资金预算减少</w:t>
      </w:r>
      <w:r>
        <w:rPr>
          <w:rFonts w:hint="eastAsia" w:ascii="仿宋_GB2312" w:hAnsi="黑体" w:eastAsia="仿宋_GB2312"/>
          <w:color w:val="auto"/>
          <w:sz w:val="32"/>
          <w:szCs w:val="32"/>
          <w:lang w:val="en-US" w:eastAsia="zh-CN"/>
        </w:rPr>
        <w:t>所致</w:t>
      </w:r>
      <w:r>
        <w:rPr>
          <w:rFonts w:hint="eastAsia" w:ascii="仿宋_GB2312" w:hAnsi="黑体" w:eastAsia="仿宋_GB2312"/>
          <w:color w:val="auto"/>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2026</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仿宋_GB2312" w:eastAsia="仿宋_GB2312" w:cs="仿宋_GB2312"/>
          <w:sz w:val="32"/>
          <w:szCs w:val="32"/>
          <w:lang w:eastAsia="zh-CN"/>
        </w:rPr>
        <w:t>三亚市自然资源和规划局</w:t>
      </w:r>
      <w:r>
        <w:rPr>
          <w:rFonts w:hint="eastAsia" w:ascii="仿宋_GB2312" w:hAnsi="黑体" w:eastAsia="仿宋_GB2312" w:cs="仿宋_GB2312"/>
          <w:sz w:val="32"/>
          <w:szCs w:val="32"/>
        </w:rPr>
        <w:t>（部门）所有收入和支出均纳入部门预算管理。收入包括：一般公共预算</w:t>
      </w:r>
      <w:r>
        <w:rPr>
          <w:rFonts w:hint="eastAsia" w:ascii="仿宋_GB2312" w:hAnsi="黑体" w:eastAsia="仿宋_GB2312" w:cs="仿宋_GB2312"/>
          <w:sz w:val="32"/>
          <w:szCs w:val="32"/>
          <w:lang w:eastAsia="zh-CN"/>
        </w:rPr>
        <w:t>拨款</w:t>
      </w:r>
      <w:r>
        <w:rPr>
          <w:rFonts w:hint="eastAsia" w:ascii="仿宋_GB2312" w:hAnsi="黑体" w:eastAsia="仿宋_GB2312" w:cs="仿宋_GB2312"/>
          <w:sz w:val="32"/>
          <w:szCs w:val="32"/>
        </w:rPr>
        <w:t>收入</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政府性基金预算资金</w:t>
      </w:r>
      <w:r>
        <w:rPr>
          <w:rFonts w:hint="eastAsia" w:ascii="仿宋_GB2312" w:hAnsi="黑体" w:eastAsia="仿宋_GB2312" w:cs="仿宋_GB2312"/>
          <w:sz w:val="32"/>
          <w:szCs w:val="32"/>
          <w:lang w:eastAsia="zh-CN"/>
        </w:rPr>
        <w:t>、上年结转</w:t>
      </w:r>
      <w:r>
        <w:rPr>
          <w:rFonts w:hint="eastAsia" w:ascii="仿宋_GB2312" w:hAnsi="黑体" w:eastAsia="仿宋_GB2312"/>
          <w:sz w:val="32"/>
          <w:szCs w:val="32"/>
        </w:rPr>
        <w:t>；支出包括：</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、卫生健康支出、城乡社区支出、农林水支出、自然资源海洋气象等支出、住房保障支出</w:t>
      </w:r>
      <w:r>
        <w:rPr>
          <w:rFonts w:hint="eastAsia" w:ascii="仿宋_GB2312" w:hAnsi="黑体" w:eastAsia="仿宋_GB2312"/>
          <w:sz w:val="32"/>
          <w:szCs w:val="32"/>
        </w:rPr>
        <w:t>。</w:t>
      </w:r>
      <w:r>
        <w:rPr>
          <w:rFonts w:hint="eastAsia" w:ascii="仿宋_GB2312" w:hAnsi="仿宋_GB2312" w:eastAsia="仿宋_GB2312" w:cs="仿宋_GB2312"/>
          <w:sz w:val="32"/>
          <w:szCs w:val="32"/>
          <w:lang w:eastAsia="zh-CN"/>
        </w:rPr>
        <w:t>三亚市自然资源和规划局</w:t>
      </w:r>
      <w:r>
        <w:rPr>
          <w:rFonts w:hint="eastAsia" w:ascii="仿宋_GB2312" w:hAnsi="黑体" w:eastAsia="仿宋_GB2312" w:cs="仿宋_GB2312"/>
          <w:sz w:val="32"/>
          <w:szCs w:val="32"/>
        </w:rPr>
        <w:t>（部门）</w:t>
      </w:r>
      <w:r>
        <w:rPr>
          <w:rFonts w:hint="eastAsia" w:ascii="仿宋_GB2312" w:hAnsi="黑体" w:eastAsia="仿宋_GB2312" w:cs="仿宋_GB2312"/>
          <w:sz w:val="32"/>
          <w:szCs w:val="32"/>
          <w:lang w:val="en-US" w:eastAsia="zh-CN"/>
        </w:rPr>
        <w:t>2026</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209679.42</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2026</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2026</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209679.42</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12747.59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6.08</w:t>
      </w:r>
      <w:r>
        <w:rPr>
          <w:rFonts w:hint="eastAsia" w:ascii="仿宋_GB2312" w:hAnsi="黑体" w:eastAsia="仿宋_GB2312"/>
          <w:sz w:val="32"/>
          <w:szCs w:val="32"/>
        </w:rPr>
        <w:t>%；一般公共预算资金</w:t>
      </w:r>
      <w:r>
        <w:rPr>
          <w:rFonts w:hint="eastAsia" w:ascii="仿宋_GB2312" w:hAnsi="黑体" w:eastAsia="仿宋_GB2312" w:cs="仿宋_GB2312"/>
          <w:sz w:val="32"/>
          <w:szCs w:val="32"/>
          <w:lang w:val="en-US" w:eastAsia="zh-CN"/>
        </w:rPr>
        <w:t>18226.69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8.69</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政府性基金预算资金</w:t>
      </w:r>
      <w:r>
        <w:rPr>
          <w:rFonts w:hint="eastAsia" w:ascii="仿宋_GB2312" w:hAnsi="黑体" w:eastAsia="仿宋_GB2312"/>
          <w:sz w:val="32"/>
          <w:szCs w:val="32"/>
          <w:lang w:val="en-US" w:eastAsia="zh-CN"/>
        </w:rPr>
        <w:t>178705.14万元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85.23</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68582.2</w:t>
      </w:r>
      <w:r>
        <w:rPr>
          <w:rFonts w:hint="eastAsia" w:ascii="仿宋_GB2312" w:hAnsi="黑体" w:eastAsia="仿宋_GB2312"/>
          <w:color w:val="000000" w:themeColor="text1"/>
          <w:sz w:val="32"/>
          <w:szCs w:val="32"/>
          <w14:textFill>
            <w14:solidFill>
              <w14:schemeClr w14:val="tx1"/>
            </w14:solidFill>
          </w14:textFill>
        </w:rPr>
        <w:t>万</w:t>
      </w:r>
      <w:r>
        <w:rPr>
          <w:rFonts w:hint="eastAsia" w:ascii="仿宋_GB2312" w:hAnsi="黑体" w:eastAsia="仿宋_GB2312"/>
          <w:sz w:val="32"/>
          <w:szCs w:val="32"/>
        </w:rPr>
        <w:t>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一</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rPr>
        <w:t>一般公共预算比上年预算数</w:t>
      </w:r>
      <w:r>
        <w:rPr>
          <w:rFonts w:hint="eastAsia" w:ascii="仿宋_GB2312" w:hAnsi="黑体" w:eastAsia="仿宋_GB2312"/>
          <w:color w:val="auto"/>
          <w:sz w:val="32"/>
          <w:szCs w:val="32"/>
          <w:lang w:eastAsia="zh-CN"/>
        </w:rPr>
        <w:t>减少</w:t>
      </w:r>
      <w:r>
        <w:rPr>
          <w:rFonts w:hint="eastAsia" w:ascii="仿宋_GB2312" w:hAnsi="黑体" w:eastAsia="仿宋_GB2312" w:cs="仿宋_GB2312"/>
          <w:color w:val="auto"/>
          <w:sz w:val="32"/>
          <w:szCs w:val="32"/>
          <w:lang w:val="en-US" w:eastAsia="zh-CN"/>
        </w:rPr>
        <w:t>42394.03</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是减少了生态保护和修复项目预算所致。二</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rPr>
        <w:t>政府性</w:t>
      </w:r>
      <w:r>
        <w:rPr>
          <w:rFonts w:hint="eastAsia" w:ascii="仿宋_GB2312" w:hAnsi="黑体" w:eastAsia="仿宋_GB2312"/>
          <w:sz w:val="32"/>
          <w:szCs w:val="32"/>
        </w:rPr>
        <w:t>基金预算</w:t>
      </w:r>
      <w:r>
        <w:rPr>
          <w:rFonts w:hint="eastAsia" w:ascii="仿宋_GB2312" w:hAnsi="黑体" w:eastAsia="仿宋_GB2312"/>
          <w:sz w:val="32"/>
          <w:szCs w:val="32"/>
          <w:lang w:val="en-US"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val="en-US" w:eastAsia="zh-CN"/>
        </w:rPr>
        <w:t>减少24638.17万元，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一</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lang w:val="en-US" w:eastAsia="zh-CN"/>
        </w:rPr>
        <w:t>减少</w:t>
      </w:r>
      <w:r>
        <w:rPr>
          <w:rFonts w:hint="eastAsia" w:ascii="仿宋_GB2312" w:hAnsi="黑体" w:eastAsia="仿宋_GB2312"/>
          <w:color w:val="auto"/>
          <w:sz w:val="32"/>
          <w:szCs w:val="32"/>
          <w:lang w:eastAsia="zh-CN"/>
        </w:rPr>
        <w:t>耕地占补平衡指标购买资金</w:t>
      </w:r>
      <w:r>
        <w:rPr>
          <w:rFonts w:hint="eastAsia" w:ascii="仿宋_GB2312" w:hAnsi="黑体" w:eastAsia="仿宋_GB2312"/>
          <w:color w:val="auto"/>
          <w:sz w:val="32"/>
          <w:szCs w:val="32"/>
          <w:lang w:val="en-US" w:eastAsia="zh-CN"/>
        </w:rPr>
        <w:t>预算，二是土地储备专项资金项目、</w:t>
      </w:r>
      <w:r>
        <w:rPr>
          <w:rFonts w:hint="eastAsia" w:ascii="仿宋_GB2312" w:hAnsi="黑体" w:eastAsia="仿宋_GB2312"/>
          <w:color w:val="auto"/>
          <w:sz w:val="32"/>
          <w:szCs w:val="32"/>
          <w:lang w:eastAsia="zh-CN"/>
        </w:rPr>
        <w:t>国有建设用地出让合同印花税</w:t>
      </w:r>
      <w:r>
        <w:rPr>
          <w:rFonts w:hint="eastAsia" w:ascii="仿宋_GB2312" w:hAnsi="黑体" w:eastAsia="仿宋_GB2312"/>
          <w:color w:val="auto"/>
          <w:sz w:val="32"/>
          <w:szCs w:val="32"/>
          <w:lang w:val="en-US" w:eastAsia="zh-CN"/>
        </w:rPr>
        <w:t>、下属单位三亚市土地储备整理交易中心新增耕地指标收储资金项目预算减少所致</w:t>
      </w:r>
      <w:r>
        <w:rPr>
          <w:rFonts w:hint="eastAsia" w:ascii="仿宋_GB2312" w:hAnsi="黑体" w:eastAsia="仿宋_GB2312"/>
          <w:color w:val="auto"/>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2026</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2026</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209679.42</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5749.92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2.74</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203929.5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97.26</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68430.83</w:t>
      </w:r>
      <w:r>
        <w:rPr>
          <w:rFonts w:hint="eastAsia" w:ascii="仿宋_GB2312" w:hAnsi="黑体" w:eastAsia="仿宋_GB2312"/>
          <w:sz w:val="32"/>
          <w:szCs w:val="32"/>
        </w:rPr>
        <w:t>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一</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rPr>
        <w:t>一般公共预算比上年预算数</w:t>
      </w:r>
      <w:r>
        <w:rPr>
          <w:rFonts w:hint="eastAsia" w:ascii="仿宋_GB2312" w:hAnsi="黑体" w:eastAsia="仿宋_GB2312"/>
          <w:color w:val="auto"/>
          <w:sz w:val="32"/>
          <w:szCs w:val="32"/>
          <w:lang w:eastAsia="zh-CN"/>
        </w:rPr>
        <w:t>减少</w:t>
      </w:r>
      <w:r>
        <w:rPr>
          <w:rFonts w:hint="eastAsia" w:ascii="仿宋_GB2312" w:hAnsi="黑体" w:eastAsia="仿宋_GB2312" w:cs="仿宋_GB2312"/>
          <w:color w:val="auto"/>
          <w:sz w:val="32"/>
          <w:szCs w:val="32"/>
          <w:lang w:val="en-US" w:eastAsia="zh-CN"/>
        </w:rPr>
        <w:t>42394.03</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是减少了生态保护和修复项目预算所致。二</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rPr>
        <w:t>政府性</w:t>
      </w:r>
      <w:r>
        <w:rPr>
          <w:rFonts w:hint="eastAsia" w:ascii="仿宋_GB2312" w:hAnsi="黑体" w:eastAsia="仿宋_GB2312"/>
          <w:sz w:val="32"/>
          <w:szCs w:val="32"/>
        </w:rPr>
        <w:t>基金预算</w:t>
      </w:r>
      <w:r>
        <w:rPr>
          <w:rFonts w:hint="eastAsia" w:ascii="仿宋_GB2312" w:hAnsi="黑体" w:eastAsia="仿宋_GB2312"/>
          <w:sz w:val="32"/>
          <w:szCs w:val="32"/>
          <w:lang w:val="en-US"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val="en-US" w:eastAsia="zh-CN"/>
        </w:rPr>
        <w:t>减少24638.17万元，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一</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lang w:val="en-US" w:eastAsia="zh-CN"/>
        </w:rPr>
        <w:t>减少</w:t>
      </w:r>
      <w:r>
        <w:rPr>
          <w:rFonts w:hint="eastAsia" w:ascii="仿宋_GB2312" w:hAnsi="黑体" w:eastAsia="仿宋_GB2312"/>
          <w:color w:val="auto"/>
          <w:sz w:val="32"/>
          <w:szCs w:val="32"/>
          <w:lang w:eastAsia="zh-CN"/>
        </w:rPr>
        <w:t>耕地占补平衡指标购买资金</w:t>
      </w:r>
      <w:r>
        <w:rPr>
          <w:rFonts w:hint="eastAsia" w:ascii="仿宋_GB2312" w:hAnsi="黑体" w:eastAsia="仿宋_GB2312"/>
          <w:color w:val="auto"/>
          <w:sz w:val="32"/>
          <w:szCs w:val="32"/>
          <w:lang w:val="en-US" w:eastAsia="zh-CN"/>
        </w:rPr>
        <w:t>预算，二是土地储备专项资金项目、</w:t>
      </w:r>
      <w:r>
        <w:rPr>
          <w:rFonts w:hint="eastAsia" w:ascii="仿宋_GB2312" w:hAnsi="黑体" w:eastAsia="仿宋_GB2312"/>
          <w:color w:val="auto"/>
          <w:sz w:val="32"/>
          <w:szCs w:val="32"/>
          <w:lang w:eastAsia="zh-CN"/>
        </w:rPr>
        <w:t>国有建设用地出让合同印花税</w:t>
      </w:r>
      <w:r>
        <w:rPr>
          <w:rFonts w:hint="eastAsia" w:ascii="仿宋_GB2312" w:hAnsi="黑体" w:eastAsia="仿宋_GB2312"/>
          <w:color w:val="auto"/>
          <w:sz w:val="32"/>
          <w:szCs w:val="32"/>
          <w:lang w:val="en-US" w:eastAsia="zh-CN"/>
        </w:rPr>
        <w:t>、下属单位三亚市土地储备整理交易中心新增耕地指标收储资金项目预算减少所致</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lang w:val="en-US" w:eastAsia="zh-CN"/>
        </w:rPr>
        <w:t>其中委托业务费预算总额</w:t>
      </w:r>
      <w:r>
        <w:rPr>
          <w:rFonts w:hint="eastAsia" w:ascii="仿宋_GB2312" w:hAnsi="黑体" w:eastAsia="仿宋_GB2312" w:cs="仿宋_GB2312"/>
          <w:color w:val="auto"/>
          <w:sz w:val="32"/>
          <w:szCs w:val="32"/>
          <w:lang w:val="en-US" w:eastAsia="zh-CN"/>
        </w:rPr>
        <w:t>14003.39</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lang w:val="en-US" w:eastAsia="zh-CN"/>
        </w:rPr>
        <w:t>比上年预算数增加</w:t>
      </w:r>
      <w:r>
        <w:rPr>
          <w:rFonts w:hint="eastAsia" w:ascii="仿宋_GB2312" w:hAnsi="黑体" w:eastAsia="仿宋_GB2312" w:cs="仿宋_GB2312"/>
          <w:color w:val="auto"/>
          <w:sz w:val="32"/>
          <w:szCs w:val="32"/>
          <w:lang w:val="en-US" w:eastAsia="zh-CN"/>
        </w:rPr>
        <w:t>3485.6</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val="en-US" w:eastAsia="zh-CN"/>
        </w:rPr>
        <w:t>。主要是海南南部典型热带区域生态系统一体化监测评估能力提升项目、自然资源和规划审批调查登记服务、海域海岛监管等项目预算委托业务费增加所致。</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（一）机关运行经费</w:t>
      </w:r>
    </w:p>
    <w:p>
      <w:pPr>
        <w:pStyle w:val="6"/>
        <w:numPr>
          <w:ilvl w:val="0"/>
          <w:numId w:val="0"/>
        </w:numPr>
        <w:ind w:firstLine="640" w:firstLineChars="200"/>
        <w:jc w:val="left"/>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2026</w:t>
      </w:r>
      <w:r>
        <w:rPr>
          <w:rFonts w:hint="eastAsia" w:ascii="仿宋_GB2312" w:hAnsi="黑体" w:eastAsia="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三亚市自然资源和规划局</w:t>
      </w:r>
      <w:r>
        <w:rPr>
          <w:rFonts w:hint="eastAsia" w:ascii="仿宋_GB2312" w:hAnsi="黑体" w:eastAsia="仿宋_GB2312" w:cs="仿宋_GB2312"/>
          <w:color w:val="000000" w:themeColor="text1"/>
          <w:sz w:val="32"/>
          <w:szCs w:val="32"/>
          <w14:textFill>
            <w14:solidFill>
              <w14:schemeClr w14:val="tx1"/>
            </w14:solidFill>
          </w14:textFill>
        </w:rPr>
        <w:t>（部门）本级的机关运行经费预算</w:t>
      </w:r>
      <w:r>
        <w:rPr>
          <w:rFonts w:hint="default" w:ascii="仿宋_GB2312" w:hAnsi="黑体" w:eastAsia="仿宋_GB2312" w:cs="仿宋_GB2312"/>
          <w:color w:val="000000" w:themeColor="text1"/>
          <w:sz w:val="32"/>
          <w:szCs w:val="32"/>
          <w:lang w:val="en"/>
          <w14:textFill>
            <w14:solidFill>
              <w14:schemeClr w14:val="tx1"/>
            </w14:solidFill>
          </w14:textFill>
        </w:rPr>
        <w:t>207.44</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sz w:val="32"/>
          <w:szCs w:val="32"/>
          <w:lang w:val="en-US" w:eastAsia="zh-CN"/>
        </w:rPr>
        <w:t>2026</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三亚市自然资源和规划局</w:t>
      </w:r>
      <w:r>
        <w:rPr>
          <w:rFonts w:hint="eastAsia" w:ascii="仿宋_GB2312" w:hAnsi="黑体" w:eastAsia="仿宋_GB2312" w:cs="仿宋_GB2312"/>
          <w:sz w:val="32"/>
          <w:szCs w:val="32"/>
        </w:rPr>
        <w:t>（部门）政府采购预算</w:t>
      </w:r>
      <w:r>
        <w:rPr>
          <w:rFonts w:hint="eastAsia" w:ascii="仿宋_GB2312" w:hAnsi="黑体" w:eastAsia="仿宋_GB2312" w:cs="仿宋_GB2312"/>
          <w:color w:val="auto"/>
          <w:sz w:val="32"/>
          <w:szCs w:val="32"/>
        </w:rPr>
        <w:t>总额</w:t>
      </w:r>
      <w:r>
        <w:rPr>
          <w:rFonts w:hint="eastAsia" w:ascii="仿宋_GB2312" w:hAnsi="黑体" w:eastAsia="仿宋_GB2312" w:cs="仿宋_GB2312"/>
          <w:color w:val="auto"/>
          <w:sz w:val="32"/>
          <w:szCs w:val="32"/>
          <w:lang w:val="en-US" w:eastAsia="zh-CN"/>
        </w:rPr>
        <w:t>5160.24</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olor w:val="auto"/>
          <w:sz w:val="32"/>
          <w:szCs w:val="32"/>
          <w:lang w:val="en-US" w:eastAsia="zh-CN"/>
        </w:rPr>
        <w:t>5160.24</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color w:val="auto"/>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年12月31日，</w:t>
      </w:r>
      <w:r>
        <w:rPr>
          <w:rFonts w:hint="eastAsia" w:ascii="仿宋_GB2312" w:hAnsi="黑体" w:eastAsia="仿宋_GB2312" w:cs="仿宋_GB2312"/>
          <w:sz w:val="32"/>
          <w:szCs w:val="32"/>
          <w:lang w:eastAsia="zh-CN"/>
        </w:rPr>
        <w:t>三亚市自然资源和规划局</w:t>
      </w:r>
      <w:r>
        <w:rPr>
          <w:rFonts w:hint="eastAsia" w:ascii="仿宋_GB2312" w:hAnsi="黑体" w:eastAsia="仿宋_GB2312" w:cs="仿宋_GB2312"/>
          <w:sz w:val="32"/>
          <w:szCs w:val="32"/>
        </w:rPr>
        <w:t>（部门）本级及下属各预算单位</w:t>
      </w:r>
      <w:r>
        <w:rPr>
          <w:rFonts w:hint="eastAsia" w:ascii="仿宋_GB2312" w:hAnsi="黑体" w:eastAsia="仿宋_GB2312" w:cs="仿宋_GB2312"/>
          <w:color w:val="auto"/>
          <w:sz w:val="32"/>
          <w:szCs w:val="32"/>
        </w:rPr>
        <w:t>共有车辆</w:t>
      </w:r>
      <w:r>
        <w:rPr>
          <w:rFonts w:hint="eastAsia" w:ascii="仿宋_GB2312" w:hAnsi="黑体" w:eastAsia="仿宋_GB2312" w:cs="仿宋_GB2312"/>
          <w:color w:val="auto"/>
          <w:sz w:val="32"/>
          <w:szCs w:val="32"/>
          <w:lang w:val="en-US" w:eastAsia="zh-CN"/>
        </w:rPr>
        <w:t>15</w:t>
      </w:r>
      <w:r>
        <w:rPr>
          <w:rFonts w:hint="eastAsia" w:ascii="仿宋_GB2312" w:hAnsi="黑体" w:eastAsia="仿宋_GB2312" w:cs="仿宋_GB2312"/>
          <w:color w:val="auto"/>
          <w:sz w:val="32"/>
          <w:szCs w:val="32"/>
        </w:rPr>
        <w:t>辆，其中机要通信</w:t>
      </w:r>
      <w:r>
        <w:rPr>
          <w:rFonts w:hint="eastAsia" w:ascii="仿宋_GB2312" w:hAnsi="黑体" w:eastAsia="仿宋_GB2312" w:cs="仿宋_GB2312"/>
          <w:color w:val="auto"/>
          <w:sz w:val="32"/>
          <w:szCs w:val="32"/>
          <w:lang w:eastAsia="zh-CN"/>
        </w:rPr>
        <w:t>用车</w:t>
      </w:r>
      <w:r>
        <w:rPr>
          <w:rFonts w:hint="eastAsia" w:ascii="仿宋_GB2312" w:hAnsi="黑体" w:eastAsia="仿宋_GB2312" w:cs="仿宋_GB2312"/>
          <w:color w:val="auto"/>
          <w:sz w:val="32"/>
          <w:szCs w:val="32"/>
          <w:lang w:val="en-US" w:eastAsia="zh-CN"/>
        </w:rPr>
        <w:t>2辆、</w:t>
      </w:r>
      <w:r>
        <w:rPr>
          <w:rFonts w:hint="eastAsia" w:ascii="仿宋_GB2312" w:hAnsi="黑体" w:eastAsia="仿宋_GB2312" w:cs="仿宋_GB2312"/>
          <w:color w:val="auto"/>
          <w:sz w:val="32"/>
          <w:szCs w:val="32"/>
        </w:rPr>
        <w:t>应急</w:t>
      </w:r>
      <w:r>
        <w:rPr>
          <w:rFonts w:hint="eastAsia" w:ascii="仿宋_GB2312" w:hAnsi="黑体" w:eastAsia="仿宋_GB2312" w:cs="仿宋_GB2312"/>
          <w:color w:val="auto"/>
          <w:sz w:val="32"/>
          <w:szCs w:val="32"/>
          <w:lang w:eastAsia="zh-CN"/>
        </w:rPr>
        <w:t>保障</w:t>
      </w:r>
      <w:r>
        <w:rPr>
          <w:rFonts w:hint="eastAsia" w:ascii="仿宋_GB2312" w:hAnsi="黑体" w:eastAsia="仿宋_GB2312" w:cs="仿宋_GB2312"/>
          <w:color w:val="auto"/>
          <w:sz w:val="32"/>
          <w:szCs w:val="32"/>
        </w:rPr>
        <w:t>用</w:t>
      </w:r>
      <w:r>
        <w:rPr>
          <w:rFonts w:hint="eastAsia" w:ascii="仿宋_GB2312" w:hAnsi="黑体" w:eastAsia="仿宋_GB2312" w:cs="仿宋_GB2312"/>
          <w:color w:val="auto"/>
          <w:sz w:val="32"/>
          <w:szCs w:val="32"/>
          <w:lang w:val="en-US" w:eastAsia="zh-CN"/>
        </w:rPr>
        <w:t>车5</w:t>
      </w:r>
      <w:r>
        <w:rPr>
          <w:rFonts w:hint="eastAsia" w:ascii="仿宋_GB2312" w:hAnsi="黑体" w:eastAsia="仿宋_GB2312" w:cs="仿宋_GB2312"/>
          <w:color w:val="auto"/>
          <w:sz w:val="32"/>
          <w:szCs w:val="32"/>
        </w:rPr>
        <w:t>辆、一般执法执勤用车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辆、业务用车</w:t>
      </w:r>
      <w:r>
        <w:rPr>
          <w:rFonts w:hint="eastAsia" w:ascii="仿宋_GB2312" w:hAnsi="黑体" w:eastAsia="仿宋_GB2312" w:cs="仿宋_GB2312"/>
          <w:color w:val="auto"/>
          <w:sz w:val="32"/>
          <w:szCs w:val="32"/>
          <w:lang w:val="en-US" w:eastAsia="zh-CN"/>
        </w:rPr>
        <w:t>6辆、</w:t>
      </w:r>
      <w:r>
        <w:rPr>
          <w:rFonts w:hint="eastAsia" w:ascii="仿宋_GB2312" w:hAnsi="黑体" w:eastAsia="仿宋_GB2312" w:cs="仿宋_GB2312"/>
          <w:color w:val="auto"/>
          <w:sz w:val="32"/>
          <w:szCs w:val="32"/>
        </w:rPr>
        <w:t>特种专业技术用车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辆、其他用车</w:t>
      </w:r>
      <w:r>
        <w:rPr>
          <w:rFonts w:hint="eastAsia" w:ascii="仿宋_GB2312" w:hAnsi="黑体" w:eastAsia="仿宋_GB2312" w:cs="仿宋_GB2312"/>
          <w:color w:val="auto"/>
          <w:sz w:val="32"/>
          <w:szCs w:val="32"/>
          <w:lang w:val="en-US" w:eastAsia="zh-CN"/>
        </w:rPr>
        <w:t>8</w:t>
      </w:r>
      <w:r>
        <w:rPr>
          <w:rFonts w:hint="eastAsia" w:ascii="仿宋_GB2312" w:hAnsi="黑体" w:eastAsia="仿宋_GB2312" w:cs="仿宋_GB2312"/>
          <w:color w:val="auto"/>
          <w:sz w:val="32"/>
          <w:szCs w:val="32"/>
        </w:rPr>
        <w:t>辆。单位价值100万元以上设备</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2026年</w:t>
      </w:r>
      <w:r>
        <w:rPr>
          <w:rFonts w:hint="eastAsia" w:ascii="仿宋_GB2312" w:hAnsi="黑体" w:eastAsia="仿宋_GB2312"/>
          <w:sz w:val="32"/>
          <w:szCs w:val="32"/>
          <w:lang w:eastAsia="zh-CN"/>
        </w:rPr>
        <w:t>三</w:t>
      </w:r>
      <w:r>
        <w:rPr>
          <w:rFonts w:hint="eastAsia" w:ascii="仿宋_GB2312" w:hAnsi="仿宋_GB2312" w:eastAsia="仿宋_GB2312" w:cs="仿宋_GB2312"/>
          <w:sz w:val="32"/>
          <w:szCs w:val="32"/>
          <w:lang w:eastAsia="zh-CN"/>
        </w:rPr>
        <w:t>亚市自然资源和规划局</w:t>
      </w:r>
      <w:r>
        <w:rPr>
          <w:rFonts w:hint="eastAsia" w:ascii="仿宋_GB2312" w:hAnsi="黑体" w:eastAsia="仿宋_GB2312" w:cs="仿宋_GB2312"/>
          <w:sz w:val="32"/>
          <w:szCs w:val="32"/>
        </w:rPr>
        <w:t>（部门）</w:t>
      </w:r>
      <w:r>
        <w:rPr>
          <w:rFonts w:hint="eastAsia" w:ascii="仿宋_GB2312" w:hAnsi="黑体" w:eastAsia="仿宋_GB2312" w:cs="仿宋_GB2312"/>
          <w:sz w:val="32"/>
          <w:szCs w:val="32"/>
          <w:lang w:val="en-US" w:eastAsia="zh-CN"/>
        </w:rPr>
        <w:t>所有</w:t>
      </w:r>
      <w:r>
        <w:rPr>
          <w:rFonts w:hint="eastAsia" w:ascii="仿宋_GB2312" w:hAnsi="黑体" w:eastAsia="仿宋_GB2312" w:cs="仿宋_GB2312"/>
          <w:sz w:val="32"/>
          <w:szCs w:val="32"/>
        </w:rPr>
        <w:t>项目实行绩效目标管理，涉及一般公共预算</w:t>
      </w:r>
      <w:r>
        <w:rPr>
          <w:rFonts w:hint="eastAsia" w:ascii="仿宋_GB2312" w:hAnsi="黑体" w:eastAsia="仿宋_GB2312"/>
          <w:sz w:val="32"/>
          <w:szCs w:val="32"/>
          <w:lang w:val="en-US" w:eastAsia="zh-CN"/>
        </w:rPr>
        <w:t>20837.07</w:t>
      </w:r>
      <w:r>
        <w:rPr>
          <w:rFonts w:hint="eastAsia" w:ascii="仿宋_GB2312" w:hAnsi="黑体" w:eastAsia="仿宋_GB2312"/>
          <w:sz w:val="32"/>
          <w:szCs w:val="32"/>
        </w:rPr>
        <w:t>万元</w:t>
      </w:r>
      <w:r>
        <w:rPr>
          <w:rFonts w:hint="eastAsia" w:ascii="仿宋_GB2312" w:hAnsi="黑体" w:eastAsia="仿宋_GB2312"/>
          <w:sz w:val="32"/>
          <w:szCs w:val="32"/>
          <w:lang w:eastAsia="zh-CN"/>
        </w:rPr>
        <w:t>、政府性基金</w:t>
      </w:r>
      <w:r>
        <w:rPr>
          <w:rFonts w:hint="eastAsia" w:ascii="仿宋_GB2312" w:hAnsi="黑体" w:eastAsia="仿宋_GB2312"/>
          <w:sz w:val="32"/>
          <w:szCs w:val="32"/>
          <w:lang w:val="en-US" w:eastAsia="zh-CN"/>
        </w:rPr>
        <w:t>188842.35</w:t>
      </w:r>
      <w:r>
        <w:rPr>
          <w:rFonts w:hint="eastAsia" w:ascii="仿宋_GB2312" w:hAnsi="黑体" w:eastAsia="仿宋_GB2312"/>
          <w:sz w:val="32"/>
          <w:szCs w:val="32"/>
          <w:lang w:eastAsia="zh-CN"/>
        </w:rPr>
        <w:t>万元</w:t>
      </w:r>
      <w:r>
        <w:rPr>
          <w:rFonts w:hint="eastAsia" w:ascii="仿宋_GB2312" w:hAnsi="黑体" w:eastAsia="仿宋_GB2312"/>
          <w:sz w:val="32"/>
          <w:szCs w:val="32"/>
        </w:rPr>
        <w:t>。</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其中，重点项目预算绩效情况：</w:t>
      </w:r>
    </w:p>
    <w:p>
      <w:pPr>
        <w:numPr>
          <w:ilvl w:val="0"/>
          <w:numId w:val="0"/>
        </w:num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1.土地储备专项资金项目，预算安排1</w:t>
      </w:r>
      <w:r>
        <w:rPr>
          <w:rFonts w:hint="default" w:ascii="仿宋_GB2312" w:hAnsi="黑体" w:eastAsia="仿宋_GB2312"/>
          <w:color w:val="auto"/>
          <w:sz w:val="32"/>
          <w:szCs w:val="32"/>
          <w:lang w:val="en" w:eastAsia="zh-CN"/>
        </w:rPr>
        <w:t>0</w:t>
      </w:r>
      <w:r>
        <w:rPr>
          <w:rFonts w:hint="eastAsia" w:ascii="仿宋_GB2312" w:hAnsi="黑体" w:eastAsia="仿宋_GB2312"/>
          <w:color w:val="auto"/>
          <w:sz w:val="32"/>
          <w:szCs w:val="32"/>
          <w:lang w:val="en-US" w:eastAsia="zh-CN"/>
        </w:rPr>
        <w:t>0000万元，主要用于储备土地征拆补偿款及土地收回补偿费，绩效目标是保障土地收储。</w:t>
      </w:r>
    </w:p>
    <w:p>
      <w:pPr>
        <w:numPr>
          <w:ilvl w:val="0"/>
          <w:numId w:val="0"/>
        </w:num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2.新增耕地指标收储资金项目，预算安排</w:t>
      </w:r>
      <w:r>
        <w:rPr>
          <w:rFonts w:hint="default" w:ascii="仿宋_GB2312" w:hAnsi="黑体" w:eastAsia="仿宋_GB2312"/>
          <w:color w:val="auto"/>
          <w:sz w:val="32"/>
          <w:szCs w:val="32"/>
          <w:lang w:val="en" w:eastAsia="zh-CN"/>
        </w:rPr>
        <w:t>2</w:t>
      </w:r>
      <w:r>
        <w:rPr>
          <w:rFonts w:hint="eastAsia" w:ascii="仿宋_GB2312" w:hAnsi="黑体" w:eastAsia="仿宋_GB2312"/>
          <w:color w:val="auto"/>
          <w:sz w:val="32"/>
          <w:szCs w:val="32"/>
          <w:lang w:val="en-US" w:eastAsia="zh-CN"/>
        </w:rPr>
        <w:t>5000万元，主要用于拨付指标收储尾款，绩效目标是保障我市重大建设项目用地。</w:t>
      </w:r>
    </w:p>
    <w:p>
      <w:pPr>
        <w:numPr>
          <w:ilvl w:val="0"/>
          <w:numId w:val="0"/>
        </w:num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3.收回海域使用权补偿资金项目，预算安排35000万元，主要用于完成中央环保督察对凤凰岛二岛海域使用权收回的补偿费用，绩效目标是及时完成督察整改工作。</w:t>
      </w:r>
    </w:p>
    <w:p>
      <w:pPr>
        <w:numPr>
          <w:ilvl w:val="0"/>
          <w:numId w:val="0"/>
        </w:numPr>
        <w:ind w:firstLine="640" w:firstLineChars="200"/>
        <w:rPr>
          <w:rFonts w:hint="eastAsia" w:ascii="仿宋_GB2312" w:hAnsi="黑体" w:eastAsia="仿宋_GB2312"/>
          <w:color w:val="FF0000"/>
          <w:sz w:val="32"/>
          <w:szCs w:val="32"/>
          <w:lang w:val="en-US" w:eastAsia="zh-CN"/>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D3A79"/>
    <w:rsid w:val="008B73B4"/>
    <w:rsid w:val="012224E5"/>
    <w:rsid w:val="01B552D2"/>
    <w:rsid w:val="01E00445"/>
    <w:rsid w:val="04D82C22"/>
    <w:rsid w:val="054B3B9F"/>
    <w:rsid w:val="05992CED"/>
    <w:rsid w:val="06E347E5"/>
    <w:rsid w:val="074338EB"/>
    <w:rsid w:val="097F6C61"/>
    <w:rsid w:val="09CD7B31"/>
    <w:rsid w:val="0A4A7584"/>
    <w:rsid w:val="0A641E3E"/>
    <w:rsid w:val="0A6F1248"/>
    <w:rsid w:val="0AC57B16"/>
    <w:rsid w:val="0DA95437"/>
    <w:rsid w:val="0DBC6FD2"/>
    <w:rsid w:val="10FB4193"/>
    <w:rsid w:val="11803CB5"/>
    <w:rsid w:val="11CD0B57"/>
    <w:rsid w:val="12CB3C25"/>
    <w:rsid w:val="15033821"/>
    <w:rsid w:val="151B4CE9"/>
    <w:rsid w:val="15725C3C"/>
    <w:rsid w:val="15F70F47"/>
    <w:rsid w:val="16F50150"/>
    <w:rsid w:val="179056AC"/>
    <w:rsid w:val="186A7EEB"/>
    <w:rsid w:val="19346DF9"/>
    <w:rsid w:val="1A4A7754"/>
    <w:rsid w:val="1A51766B"/>
    <w:rsid w:val="1A857651"/>
    <w:rsid w:val="1AC50146"/>
    <w:rsid w:val="1B4352A1"/>
    <w:rsid w:val="1BA94EB1"/>
    <w:rsid w:val="1D0B790E"/>
    <w:rsid w:val="1D775927"/>
    <w:rsid w:val="1D7F121F"/>
    <w:rsid w:val="1E602ADC"/>
    <w:rsid w:val="1E641B2B"/>
    <w:rsid w:val="1F7E8572"/>
    <w:rsid w:val="22035B15"/>
    <w:rsid w:val="22E7281B"/>
    <w:rsid w:val="22E80F74"/>
    <w:rsid w:val="23294F13"/>
    <w:rsid w:val="253666DB"/>
    <w:rsid w:val="25A830A2"/>
    <w:rsid w:val="270A5CDA"/>
    <w:rsid w:val="27F53F1E"/>
    <w:rsid w:val="28A02ECE"/>
    <w:rsid w:val="28BF1459"/>
    <w:rsid w:val="2A08062C"/>
    <w:rsid w:val="2A146AEB"/>
    <w:rsid w:val="2A573840"/>
    <w:rsid w:val="2ACA76BB"/>
    <w:rsid w:val="2E3947EE"/>
    <w:rsid w:val="2E3A638E"/>
    <w:rsid w:val="2EAF4468"/>
    <w:rsid w:val="2F930622"/>
    <w:rsid w:val="2FC5383C"/>
    <w:rsid w:val="318276E5"/>
    <w:rsid w:val="31972936"/>
    <w:rsid w:val="322574E5"/>
    <w:rsid w:val="336436A3"/>
    <w:rsid w:val="36A27007"/>
    <w:rsid w:val="36DB4B5D"/>
    <w:rsid w:val="37107BFD"/>
    <w:rsid w:val="378A1B4F"/>
    <w:rsid w:val="385221CE"/>
    <w:rsid w:val="395D0F5A"/>
    <w:rsid w:val="3A1C04D2"/>
    <w:rsid w:val="3AC83837"/>
    <w:rsid w:val="3AD719AF"/>
    <w:rsid w:val="3C2E7CD0"/>
    <w:rsid w:val="3DE00784"/>
    <w:rsid w:val="3FDF1638"/>
    <w:rsid w:val="3FFF5D94"/>
    <w:rsid w:val="42B3731C"/>
    <w:rsid w:val="42C6593E"/>
    <w:rsid w:val="42FA2A3B"/>
    <w:rsid w:val="433E265E"/>
    <w:rsid w:val="43734F2F"/>
    <w:rsid w:val="43EA57D2"/>
    <w:rsid w:val="45566F1F"/>
    <w:rsid w:val="47DA7B44"/>
    <w:rsid w:val="4B5A43E1"/>
    <w:rsid w:val="4B8E0FD1"/>
    <w:rsid w:val="4C1C160F"/>
    <w:rsid w:val="4DB0280B"/>
    <w:rsid w:val="4E0C5CC3"/>
    <w:rsid w:val="4FB604F7"/>
    <w:rsid w:val="50473D14"/>
    <w:rsid w:val="53627390"/>
    <w:rsid w:val="53C734B5"/>
    <w:rsid w:val="53F73C66"/>
    <w:rsid w:val="545B419E"/>
    <w:rsid w:val="558F44D3"/>
    <w:rsid w:val="55ED1B8B"/>
    <w:rsid w:val="567F3520"/>
    <w:rsid w:val="56D792D5"/>
    <w:rsid w:val="57657656"/>
    <w:rsid w:val="585B6E69"/>
    <w:rsid w:val="59C327C1"/>
    <w:rsid w:val="59D43251"/>
    <w:rsid w:val="59E34496"/>
    <w:rsid w:val="5A01505E"/>
    <w:rsid w:val="5BBBC593"/>
    <w:rsid w:val="5CDB2AB6"/>
    <w:rsid w:val="5D512E23"/>
    <w:rsid w:val="5DBEB87B"/>
    <w:rsid w:val="5ECB3375"/>
    <w:rsid w:val="5F425211"/>
    <w:rsid w:val="5F4B6BCA"/>
    <w:rsid w:val="5FEB254D"/>
    <w:rsid w:val="60136D3D"/>
    <w:rsid w:val="6149201D"/>
    <w:rsid w:val="62326004"/>
    <w:rsid w:val="625768EF"/>
    <w:rsid w:val="631C1CBA"/>
    <w:rsid w:val="63C71872"/>
    <w:rsid w:val="64B24030"/>
    <w:rsid w:val="654D74A9"/>
    <w:rsid w:val="66653407"/>
    <w:rsid w:val="697C497A"/>
    <w:rsid w:val="6A0D2CA3"/>
    <w:rsid w:val="6C1C022C"/>
    <w:rsid w:val="6E315EFC"/>
    <w:rsid w:val="6E516128"/>
    <w:rsid w:val="6E8B7150"/>
    <w:rsid w:val="6F69255E"/>
    <w:rsid w:val="6FB7F600"/>
    <w:rsid w:val="703A4CF7"/>
    <w:rsid w:val="70CF3ABB"/>
    <w:rsid w:val="72C44B2A"/>
    <w:rsid w:val="72D04593"/>
    <w:rsid w:val="73BD921E"/>
    <w:rsid w:val="74087429"/>
    <w:rsid w:val="752D19F8"/>
    <w:rsid w:val="755521DB"/>
    <w:rsid w:val="7679658B"/>
    <w:rsid w:val="77E76EC4"/>
    <w:rsid w:val="78DE37F5"/>
    <w:rsid w:val="78EB10D2"/>
    <w:rsid w:val="7991102E"/>
    <w:rsid w:val="79B80C7A"/>
    <w:rsid w:val="7AB318E0"/>
    <w:rsid w:val="7AB568FA"/>
    <w:rsid w:val="7AD830A7"/>
    <w:rsid w:val="7B7C3609"/>
    <w:rsid w:val="7BEE0033"/>
    <w:rsid w:val="7DEB5FE3"/>
    <w:rsid w:val="7DEBCAFF"/>
    <w:rsid w:val="7E167B7A"/>
    <w:rsid w:val="7EFB5CF6"/>
    <w:rsid w:val="7FF9FA92"/>
    <w:rsid w:val="7FFBF794"/>
    <w:rsid w:val="ADEF003F"/>
    <w:rsid w:val="AF9EBE19"/>
    <w:rsid w:val="AF9ECD21"/>
    <w:rsid w:val="AFAFD5C3"/>
    <w:rsid w:val="B6F3EA1F"/>
    <w:rsid w:val="BBF99FAC"/>
    <w:rsid w:val="BC774AD2"/>
    <w:rsid w:val="BDF733BE"/>
    <w:rsid w:val="BEDE7227"/>
    <w:rsid w:val="BF9BC604"/>
    <w:rsid w:val="BFAF91D5"/>
    <w:rsid w:val="C3979551"/>
    <w:rsid w:val="DC5F3661"/>
    <w:rsid w:val="ED56E5C4"/>
    <w:rsid w:val="EEE5FCA2"/>
    <w:rsid w:val="F6A77569"/>
    <w:rsid w:val="F77B3B99"/>
    <w:rsid w:val="F78CA973"/>
    <w:rsid w:val="F9EDED51"/>
    <w:rsid w:val="FB6AFCE8"/>
    <w:rsid w:val="FBFB5D01"/>
    <w:rsid w:val="FEDED5A5"/>
    <w:rsid w:val="FF770165"/>
    <w:rsid w:val="FFBDE5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Body text|1"/>
    <w:basedOn w:val="1"/>
    <w:qFormat/>
    <w:uiPriority w:val="0"/>
    <w:pPr>
      <w:widowControl w:val="0"/>
      <w:shd w:val="clear" w:color="auto" w:fill="auto"/>
      <w:spacing w:line="427" w:lineRule="auto"/>
      <w:ind w:firstLine="40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3</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2017-02-06T15:31:00Z</dcterms:created>
  <dc:creator>null,null,总收发</dc:creator>
  <cp:lastModifiedBy>uos</cp:lastModifiedBy>
  <dcterms:modified xsi:type="dcterms:W3CDTF">2026-02-26T15:59:47Z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