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84"/>
          <w:szCs w:val="84"/>
          <w:lang w:val="en-US" w:eastAsia="zh-CN"/>
        </w:rPr>
      </w:pPr>
      <w:r>
        <w:rPr>
          <w:rFonts w:hint="eastAsia"/>
          <w:sz w:val="84"/>
          <w:szCs w:val="84"/>
          <w:lang w:val="en-US" w:eastAsia="zh-CN"/>
        </w:rPr>
        <w:t xml:space="preserve">  </w:t>
      </w:r>
    </w:p>
    <w:p>
      <w:pPr>
        <w:jc w:val="center"/>
        <w:rPr>
          <w:rFonts w:hint="eastAsia"/>
          <w:sz w:val="84"/>
          <w:szCs w:val="84"/>
          <w:lang w:val="en-US" w:eastAsia="zh-CN"/>
        </w:rPr>
      </w:pPr>
    </w:p>
    <w:p>
      <w:pPr>
        <w:jc w:val="center"/>
        <w:rPr>
          <w:rFonts w:hint="eastAsia"/>
          <w:sz w:val="84"/>
          <w:szCs w:val="84"/>
          <w:lang w:val="en-US" w:eastAsia="zh-CN"/>
        </w:rPr>
      </w:pPr>
    </w:p>
    <w:p>
      <w:pPr>
        <w:jc w:val="center"/>
        <w:rPr>
          <w:rFonts w:hint="eastAsia"/>
          <w:color w:val="auto"/>
          <w:sz w:val="84"/>
          <w:szCs w:val="84"/>
          <w:lang w:val="en-US" w:eastAsia="zh-CN"/>
        </w:rPr>
      </w:pPr>
    </w:p>
    <w:p>
      <w:pPr>
        <w:jc w:val="center"/>
        <w:rPr>
          <w:rFonts w:hint="eastAsia" w:ascii="宋体" w:hAnsi="宋体" w:eastAsia="宋体" w:cs="宋体"/>
          <w:b/>
          <w:bCs/>
          <w:color w:val="auto"/>
          <w:sz w:val="52"/>
          <w:szCs w:val="52"/>
        </w:rPr>
      </w:pPr>
      <w:r>
        <w:rPr>
          <w:rFonts w:hint="eastAsia" w:ascii="黑体" w:hAnsi="黑体" w:eastAsia="黑体" w:cs="黑体"/>
          <w:b/>
          <w:bCs/>
          <w:color w:val="auto"/>
          <w:sz w:val="52"/>
          <w:szCs w:val="52"/>
          <w:lang w:val="en-US" w:eastAsia="zh-CN"/>
        </w:rPr>
        <w:t>2024</w:t>
      </w:r>
      <w:r>
        <w:rPr>
          <w:rFonts w:hint="eastAsia" w:ascii="黑体" w:hAnsi="黑体" w:eastAsia="黑体" w:cs="黑体"/>
          <w:b/>
          <w:bCs/>
          <w:color w:val="auto"/>
          <w:sz w:val="52"/>
          <w:szCs w:val="52"/>
        </w:rPr>
        <w:t>年</w:t>
      </w:r>
      <w:r>
        <w:rPr>
          <w:rFonts w:hint="eastAsia" w:ascii="黑体" w:hAnsi="黑体" w:eastAsia="黑体" w:cs="黑体"/>
          <w:b/>
          <w:bCs/>
          <w:color w:val="auto"/>
          <w:sz w:val="52"/>
          <w:szCs w:val="52"/>
          <w:lang w:eastAsia="zh-CN"/>
        </w:rPr>
        <w:t>三亚市土地整理中心</w:t>
      </w:r>
      <w:r>
        <w:rPr>
          <w:rFonts w:hint="eastAsia" w:ascii="黑体" w:hAnsi="黑体" w:eastAsia="黑体" w:cs="黑体"/>
          <w:b/>
          <w:bCs/>
          <w:color w:val="auto"/>
          <w:sz w:val="52"/>
          <w:szCs w:val="52"/>
        </w:rPr>
        <w:t>预算</w:t>
      </w:r>
    </w:p>
    <w:p>
      <w:pPr>
        <w:jc w:val="center"/>
        <w:rPr>
          <w:rFonts w:hint="eastAsia"/>
          <w:color w:val="auto"/>
          <w:sz w:val="52"/>
          <w:szCs w:val="52"/>
        </w:rPr>
      </w:pPr>
    </w:p>
    <w:p>
      <w:pPr>
        <w:jc w:val="center"/>
        <w:rPr>
          <w:rFonts w:hint="eastAsia"/>
          <w:color w:val="auto"/>
          <w:sz w:val="52"/>
          <w:szCs w:val="52"/>
        </w:rPr>
      </w:pPr>
    </w:p>
    <w:p>
      <w:pPr>
        <w:jc w:val="center"/>
        <w:rPr>
          <w:rFonts w:hint="eastAsia"/>
          <w:color w:val="auto"/>
          <w:sz w:val="52"/>
          <w:szCs w:val="52"/>
        </w:rPr>
      </w:pPr>
    </w:p>
    <w:p>
      <w:pPr>
        <w:jc w:val="center"/>
        <w:rPr>
          <w:rFonts w:hint="eastAsia"/>
          <w:color w:val="auto"/>
          <w:sz w:val="52"/>
          <w:szCs w:val="52"/>
        </w:rPr>
      </w:pPr>
    </w:p>
    <w:p>
      <w:pPr>
        <w:jc w:val="center"/>
        <w:rPr>
          <w:rFonts w:hint="eastAsia"/>
          <w:color w:val="auto"/>
          <w:sz w:val="52"/>
          <w:szCs w:val="52"/>
        </w:rPr>
      </w:pPr>
    </w:p>
    <w:p>
      <w:pPr>
        <w:jc w:val="center"/>
        <w:rPr>
          <w:rFonts w:hint="eastAsia"/>
          <w:color w:val="auto"/>
          <w:sz w:val="52"/>
          <w:szCs w:val="52"/>
        </w:rPr>
      </w:pPr>
    </w:p>
    <w:p>
      <w:pPr>
        <w:jc w:val="center"/>
        <w:rPr>
          <w:rFonts w:hint="eastAsia"/>
          <w:color w:val="auto"/>
          <w:sz w:val="52"/>
          <w:szCs w:val="52"/>
        </w:rPr>
      </w:pPr>
    </w:p>
    <w:p>
      <w:pPr>
        <w:jc w:val="center"/>
        <w:rPr>
          <w:rFonts w:hint="eastAsia"/>
          <w:color w:val="auto"/>
          <w:sz w:val="52"/>
          <w:szCs w:val="52"/>
        </w:rPr>
      </w:pPr>
    </w:p>
    <w:p>
      <w:pPr>
        <w:jc w:val="center"/>
        <w:rPr>
          <w:rFonts w:ascii="黑体" w:hAnsi="黑体" w:eastAsia="黑体"/>
          <w:color w:val="auto"/>
          <w:sz w:val="52"/>
          <w:szCs w:val="52"/>
        </w:rPr>
      </w:pPr>
      <w:r>
        <w:rPr>
          <w:rFonts w:hint="eastAsia" w:ascii="黑体" w:hAnsi="黑体" w:eastAsia="黑体"/>
          <w:color w:val="auto"/>
          <w:sz w:val="52"/>
          <w:szCs w:val="52"/>
        </w:rPr>
        <w:t>目录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第一部分、三亚市土地整理中心概况</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一、主要职能</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二、单位机构设置</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宋体" w:hAnsi="宋体" w:eastAsia="宋体" w:cs="宋体"/>
          <w:color w:val="auto"/>
          <w:sz w:val="32"/>
          <w:szCs w:val="32"/>
          <w:lang w:val="en-US" w:eastAsia="zh-CN"/>
        </w:rPr>
      </w:pPr>
      <w:r>
        <w:rPr>
          <w:rFonts w:hint="eastAsia" w:ascii="黑体" w:hAnsi="黑体" w:eastAsia="黑体" w:cs="黑体"/>
          <w:color w:val="auto"/>
          <w:sz w:val="32"/>
          <w:szCs w:val="32"/>
          <w:lang w:val="en-US" w:eastAsia="zh-CN"/>
        </w:rPr>
        <w:t>第二部分、三亚市土地整理中心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年单位预算表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财政拨款收支总表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rPr>
        <w:t>一般公共预算支出表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三、</w:t>
      </w:r>
      <w:r>
        <w:rPr>
          <w:rFonts w:hint="eastAsia" w:ascii="黑体" w:hAnsi="黑体" w:eastAsia="黑体" w:cs="黑体"/>
          <w:color w:val="auto"/>
          <w:sz w:val="32"/>
          <w:szCs w:val="32"/>
        </w:rPr>
        <w:t>一般公共预算基本支出表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四、</w:t>
      </w:r>
      <w:r>
        <w:rPr>
          <w:rFonts w:hint="eastAsia" w:ascii="黑体" w:hAnsi="黑体" w:eastAsia="黑体" w:cs="黑体"/>
          <w:color w:val="auto"/>
          <w:sz w:val="32"/>
          <w:szCs w:val="32"/>
        </w:rPr>
        <w:t>一般公共预算“三公”经费支出表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五、</w:t>
      </w:r>
      <w:r>
        <w:rPr>
          <w:rFonts w:hint="eastAsia" w:ascii="黑体" w:hAnsi="黑体" w:eastAsia="黑体" w:cs="黑体"/>
          <w:color w:val="auto"/>
          <w:sz w:val="32"/>
          <w:szCs w:val="32"/>
        </w:rPr>
        <w:t>政府性基金预算支出表。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政府性基金预算“三公”经费支出表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七、单位</w:t>
      </w:r>
      <w:r>
        <w:rPr>
          <w:rFonts w:hint="eastAsia" w:ascii="黑体" w:hAnsi="黑体" w:eastAsia="黑体" w:cs="黑体"/>
          <w:color w:val="auto"/>
          <w:sz w:val="32"/>
          <w:szCs w:val="32"/>
        </w:rPr>
        <w:t>收支总表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八、单位</w:t>
      </w:r>
      <w:r>
        <w:rPr>
          <w:rFonts w:hint="eastAsia" w:ascii="黑体" w:hAnsi="黑体" w:eastAsia="黑体" w:cs="黑体"/>
          <w:color w:val="auto"/>
          <w:sz w:val="32"/>
          <w:szCs w:val="32"/>
        </w:rPr>
        <w:t>收入总表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九、单位</w:t>
      </w:r>
      <w:r>
        <w:rPr>
          <w:rFonts w:hint="eastAsia" w:ascii="黑体" w:hAnsi="黑体" w:eastAsia="黑体" w:cs="黑体"/>
          <w:color w:val="auto"/>
          <w:sz w:val="32"/>
          <w:szCs w:val="32"/>
        </w:rPr>
        <w:t>支出总表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1280" w:firstLineChars="4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十、</w:t>
      </w:r>
      <w:r>
        <w:rPr>
          <w:rFonts w:hint="eastAsia" w:ascii="黑体" w:hAnsi="黑体" w:eastAsia="黑体" w:cs="黑体"/>
          <w:color w:val="auto"/>
          <w:sz w:val="32"/>
          <w:szCs w:val="32"/>
        </w:rPr>
        <w:t>项目支出绩效信息表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第三部分、三亚市土地整理中心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年单位预算情况说明</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第四部分、名词解释</w:t>
      </w:r>
    </w:p>
    <w:p>
      <w:pPr>
        <w:pStyle w:val="5"/>
        <w:widowControl w:val="0"/>
        <w:numPr>
          <w:ilvl w:val="0"/>
          <w:numId w:val="0"/>
        </w:numPr>
        <w:jc w:val="left"/>
        <w:rPr>
          <w:rFonts w:hint="eastAsia" w:ascii="宋体" w:hAnsi="宋体" w:eastAsia="宋体" w:cs="宋体"/>
          <w:color w:val="auto"/>
          <w:sz w:val="32"/>
          <w:szCs w:val="32"/>
          <w:lang w:val="en-US" w:eastAsia="zh-CN"/>
        </w:rPr>
      </w:pPr>
    </w:p>
    <w:p>
      <w:pPr>
        <w:pStyle w:val="5"/>
        <w:widowControl w:val="0"/>
        <w:numPr>
          <w:ilvl w:val="0"/>
          <w:numId w:val="0"/>
        </w:numPr>
        <w:jc w:val="left"/>
        <w:rPr>
          <w:rFonts w:hint="eastAsia" w:ascii="宋体" w:hAnsi="宋体" w:eastAsia="宋体" w:cs="宋体"/>
          <w:color w:val="auto"/>
          <w:sz w:val="32"/>
          <w:szCs w:val="32"/>
          <w:lang w:val="en-US" w:eastAsia="zh-CN"/>
        </w:rPr>
      </w:pPr>
    </w:p>
    <w:p>
      <w:pPr>
        <w:pStyle w:val="5"/>
        <w:widowControl w:val="0"/>
        <w:numPr>
          <w:ilvl w:val="0"/>
          <w:numId w:val="0"/>
        </w:numPr>
        <w:jc w:val="left"/>
        <w:rPr>
          <w:rFonts w:hint="eastAsia" w:ascii="宋体" w:hAnsi="宋体" w:eastAsia="宋体" w:cs="宋体"/>
          <w:color w:val="auto"/>
          <w:sz w:val="32"/>
          <w:szCs w:val="32"/>
          <w:lang w:val="en-US" w:eastAsia="zh-CN"/>
        </w:rPr>
      </w:pPr>
    </w:p>
    <w:p>
      <w:pPr>
        <w:pStyle w:val="5"/>
        <w:widowControl w:val="0"/>
        <w:numPr>
          <w:ilvl w:val="0"/>
          <w:numId w:val="0"/>
        </w:numPr>
        <w:jc w:val="left"/>
        <w:rPr>
          <w:rFonts w:hint="eastAsia" w:ascii="宋体" w:hAnsi="宋体" w:eastAsia="宋体" w:cs="宋体"/>
          <w:color w:val="auto"/>
          <w:sz w:val="32"/>
          <w:szCs w:val="32"/>
          <w:lang w:val="en-US" w:eastAsia="zh-CN"/>
        </w:rPr>
      </w:pPr>
    </w:p>
    <w:p>
      <w:pPr>
        <w:pStyle w:val="5"/>
        <w:widowControl w:val="0"/>
        <w:numPr>
          <w:ilvl w:val="0"/>
          <w:numId w:val="0"/>
        </w:numPr>
        <w:jc w:val="left"/>
        <w:rPr>
          <w:rFonts w:hint="eastAsia" w:ascii="宋体" w:hAnsi="宋体" w:eastAsia="宋体" w:cs="宋体"/>
          <w:color w:val="auto"/>
          <w:sz w:val="32"/>
          <w:szCs w:val="32"/>
          <w:lang w:val="en-US" w:eastAsia="zh-CN"/>
        </w:rPr>
      </w:pPr>
    </w:p>
    <w:p>
      <w:pPr>
        <w:pStyle w:val="5"/>
        <w:widowControl w:val="0"/>
        <w:numPr>
          <w:ilvl w:val="0"/>
          <w:numId w:val="0"/>
        </w:numPr>
        <w:jc w:val="left"/>
        <w:rPr>
          <w:rFonts w:hint="eastAsia" w:ascii="仿宋_GB2312" w:hAnsi="仿宋_GB2312" w:eastAsia="仿宋_GB2312" w:cs="仿宋_GB2312"/>
          <w:color w:val="FF0000"/>
          <w:sz w:val="32"/>
          <w:szCs w:val="32"/>
          <w:lang w:val="en-US" w:eastAsia="zh-CN"/>
        </w:rPr>
      </w:pPr>
    </w:p>
    <w:p>
      <w:pPr>
        <w:pStyle w:val="5"/>
        <w:keepNext w:val="0"/>
        <w:keepLines w:val="0"/>
        <w:pageBreakBefore w:val="0"/>
        <w:widowControl w:val="0"/>
        <w:numPr>
          <w:ilvl w:val="0"/>
          <w:numId w:val="1"/>
        </w:numPr>
        <w:kinsoku/>
        <w:wordWrap/>
        <w:overflowPunct/>
        <w:topLinePunct w:val="0"/>
        <w:autoSpaceDE/>
        <w:autoSpaceDN/>
        <w:bidi w:val="0"/>
        <w:adjustRightInd/>
        <w:snapToGrid/>
        <w:spacing w:line="572" w:lineRule="exact"/>
        <w:ind w:left="0" w:leftChars="0" w:firstLineChars="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三亚市土地整理中心概况</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572" w:lineRule="exact"/>
        <w:ind w:left="210" w:leftChars="0" w:firstLineChars="0"/>
        <w:jc w:val="left"/>
        <w:textAlignment w:val="auto"/>
        <w:rPr>
          <w:rFonts w:hint="eastAsia" w:asciiTheme="minorEastAsia" w:hAnsiTheme="minorEastAsia" w:eastAsiaTheme="minorEastAsia" w:cstheme="minorEastAsia"/>
          <w:color w:val="auto"/>
          <w:sz w:val="32"/>
          <w:szCs w:val="32"/>
          <w:lang w:val="en-US" w:eastAsia="zh-CN"/>
        </w:rPr>
      </w:pPr>
      <w:r>
        <w:rPr>
          <w:rFonts w:hint="eastAsia" w:ascii="黑体" w:hAnsi="黑体" w:eastAsia="黑体" w:cs="黑体"/>
          <w:color w:val="auto"/>
          <w:sz w:val="32"/>
          <w:szCs w:val="32"/>
          <w:lang w:val="en-US" w:eastAsia="zh-CN"/>
        </w:rPr>
        <w:t>主要职能</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572" w:lineRule="exact"/>
        <w:jc w:val="left"/>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承担我市的土地开发整理的立项、可行性研究、规划设计和投资预算编制及项目实施和后续管护工作。</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572" w:lineRule="exact"/>
        <w:jc w:val="left"/>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负责土地开发整理专项资金的使用和管理，承担土地整治项目的监督检查和竣工验收。</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572" w:lineRule="exact"/>
        <w:jc w:val="left"/>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负责拨付参与拟定土地开发整理项目的财政补助标准，并对下拨的资金使用情况进行监督检查。</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572" w:lineRule="exact"/>
        <w:jc w:val="left"/>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负责耕地后备资源库和补充耕地储备库的建设和日常管理。</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572" w:lineRule="exact"/>
        <w:jc w:val="left"/>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负责农转用报件中的补充耕地方案的制定。</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572" w:lineRule="exact"/>
        <w:jc w:val="left"/>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负责收购由社会机构和农村集体经济组织自行投资开发的用于耕地占补平衡的补充耕地指标。</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572" w:lineRule="exact"/>
        <w:jc w:val="left"/>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承办上级部门交办的其他工作。</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二、单位机构设置</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kern w:val="2"/>
          <w:sz w:val="32"/>
          <w:szCs w:val="32"/>
          <w:lang w:val="en-US" w:eastAsia="zh-CN" w:bidi="ar-SA"/>
        </w:rPr>
        <w:t>三亚市土地整理中心是经市机构编制委员会批准成立的副处级公益一类全额拨款事业单位，隶属三亚市自然资源和规划局，设置综合</w:t>
      </w:r>
      <w:r>
        <w:rPr>
          <w:rFonts w:hint="default" w:ascii="Times New Roman" w:hAnsi="Times New Roman" w:eastAsia="楷体" w:cs="Times New Roman"/>
          <w:color w:val="auto"/>
          <w:kern w:val="2"/>
          <w:sz w:val="32"/>
          <w:szCs w:val="32"/>
          <w:lang w:val="en-US" w:eastAsia="zh-CN" w:bidi="ar-SA"/>
        </w:rPr>
        <w:t>科1个</w:t>
      </w:r>
      <w:r>
        <w:rPr>
          <w:rFonts w:hint="eastAsia" w:ascii="楷体" w:hAnsi="楷体" w:eastAsia="楷体" w:cs="楷体"/>
          <w:color w:val="auto"/>
          <w:kern w:val="2"/>
          <w:sz w:val="32"/>
          <w:szCs w:val="32"/>
          <w:lang w:val="en-US" w:eastAsia="zh-CN" w:bidi="ar-SA"/>
        </w:rPr>
        <w:t>内设科级机构。</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72" w:lineRule="exact"/>
        <w:ind w:left="0" w:leftChars="0" w:firstLine="640" w:firstLineChars="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年单位预算表</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val="en-US" w:eastAsia="zh-CN"/>
        </w:rPr>
        <w:t>（此部分内容即为单位预算公开表）</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72" w:lineRule="exact"/>
        <w:ind w:left="0" w:leftChars="0" w:firstLine="640" w:firstLineChars="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年单位预算情况说明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Theme="minorEastAsia" w:hAnsiTheme="minorEastAsia" w:eastAsiaTheme="minorEastAsia" w:cstheme="minorEastAsia"/>
          <w:color w:val="auto"/>
          <w:sz w:val="32"/>
          <w:szCs w:val="32"/>
        </w:rPr>
      </w:pP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关于</w:t>
      </w:r>
      <w:r>
        <w:rPr>
          <w:rFonts w:hint="eastAsia" w:ascii="黑体" w:hAnsi="黑体" w:eastAsia="黑体" w:cs="黑体"/>
          <w:color w:val="auto"/>
          <w:sz w:val="32"/>
          <w:szCs w:val="32"/>
          <w:lang w:val="en-US" w:eastAsia="zh-CN"/>
        </w:rPr>
        <w:t>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w:t>
      </w:r>
      <w:r>
        <w:rPr>
          <w:rFonts w:hint="eastAsia" w:ascii="黑体" w:hAnsi="黑体" w:eastAsia="黑体" w:cs="黑体"/>
          <w:color w:val="auto"/>
          <w:sz w:val="32"/>
          <w:szCs w:val="32"/>
        </w:rPr>
        <w:t>财政拨款收支预算情况的总体说明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default" w:ascii="Times New Roman" w:hAnsi="Times New Roman" w:cs="Times New Roman" w:eastAsiaTheme="minorEastAsia"/>
          <w:color w:val="auto"/>
          <w:sz w:val="32"/>
          <w:szCs w:val="32"/>
        </w:rPr>
      </w:pPr>
      <w:r>
        <w:rPr>
          <w:rFonts w:hint="default" w:ascii="Times New Roman" w:hAnsi="Times New Roman" w:cs="Times New Roman" w:eastAsiaTheme="minorEastAsia"/>
          <w:color w:val="auto"/>
          <w:sz w:val="32"/>
          <w:szCs w:val="32"/>
          <w:lang w:val="en-US" w:eastAsia="zh-CN"/>
        </w:rPr>
        <w:t>三亚市土地整理中心202</w:t>
      </w:r>
      <w:r>
        <w:rPr>
          <w:rFonts w:hint="default" w:ascii="Times New Roman" w:hAnsi="Times New Roman" w:cs="Times New Roman"/>
          <w:color w:val="auto"/>
          <w:sz w:val="32"/>
          <w:szCs w:val="32"/>
          <w:lang w:val="en-US" w:eastAsia="zh-CN"/>
        </w:rPr>
        <w:t>4</w:t>
      </w:r>
      <w:r>
        <w:rPr>
          <w:rFonts w:hint="default" w:ascii="Times New Roman" w:hAnsi="Times New Roman" w:cs="Times New Roman" w:eastAsiaTheme="minorEastAsia"/>
          <w:color w:val="auto"/>
          <w:sz w:val="32"/>
          <w:szCs w:val="32"/>
          <w:lang w:val="en-US" w:eastAsia="zh-CN"/>
        </w:rPr>
        <w:t>年</w:t>
      </w:r>
      <w:r>
        <w:rPr>
          <w:rFonts w:hint="default" w:ascii="Times New Roman" w:hAnsi="Times New Roman" w:cs="Times New Roman" w:eastAsiaTheme="minorEastAsia"/>
          <w:color w:val="auto"/>
          <w:sz w:val="32"/>
          <w:szCs w:val="32"/>
        </w:rPr>
        <w:t>财政拨款收支总预算</w:t>
      </w:r>
      <w:r>
        <w:rPr>
          <w:rFonts w:hint="default" w:ascii="Times New Roman" w:hAnsi="Times New Roman" w:cs="Times New Roman"/>
          <w:color w:val="auto"/>
          <w:sz w:val="32"/>
          <w:szCs w:val="32"/>
          <w:lang w:val="en-US" w:eastAsia="zh-CN"/>
        </w:rPr>
        <w:t>50763.92</w:t>
      </w:r>
      <w:r>
        <w:rPr>
          <w:rFonts w:hint="default" w:ascii="Times New Roman" w:hAnsi="Times New Roman" w:cs="Times New Roman" w:eastAsiaTheme="minorEastAsia"/>
          <w:color w:val="auto"/>
          <w:sz w:val="32"/>
          <w:szCs w:val="32"/>
        </w:rPr>
        <w:t>万元。其中，收入总计</w:t>
      </w:r>
      <w:r>
        <w:rPr>
          <w:rFonts w:hint="default" w:ascii="Times New Roman" w:hAnsi="Times New Roman" w:cs="Times New Roman"/>
          <w:color w:val="auto"/>
          <w:sz w:val="32"/>
          <w:szCs w:val="32"/>
          <w:lang w:val="en-US" w:eastAsia="zh-CN"/>
        </w:rPr>
        <w:t>50763.92</w:t>
      </w:r>
      <w:r>
        <w:rPr>
          <w:rFonts w:hint="default" w:ascii="Times New Roman" w:hAnsi="Times New Roman" w:cs="Times New Roman" w:eastAsiaTheme="minorEastAsia"/>
          <w:color w:val="auto"/>
          <w:sz w:val="32"/>
          <w:szCs w:val="32"/>
        </w:rPr>
        <w:t>万元</w:t>
      </w:r>
      <w:r>
        <w:rPr>
          <w:rFonts w:hint="default" w:ascii="Times New Roman" w:hAnsi="Times New Roman" w:cs="Times New Roman"/>
          <w:color w:val="auto"/>
          <w:sz w:val="32"/>
          <w:szCs w:val="32"/>
          <w:lang w:eastAsia="zh-CN"/>
        </w:rPr>
        <w:t>，</w:t>
      </w:r>
      <w:r>
        <w:rPr>
          <w:rFonts w:hint="default" w:ascii="Times New Roman" w:hAnsi="Times New Roman" w:cs="Times New Roman" w:eastAsiaTheme="minorEastAsia"/>
          <w:color w:val="auto"/>
          <w:sz w:val="32"/>
          <w:szCs w:val="32"/>
        </w:rPr>
        <w:t>包括一般公共预算本年收入</w:t>
      </w:r>
      <w:r>
        <w:rPr>
          <w:rFonts w:hint="default" w:ascii="Times New Roman" w:hAnsi="Times New Roman" w:cs="Times New Roman"/>
          <w:color w:val="auto"/>
          <w:sz w:val="32"/>
          <w:szCs w:val="32"/>
          <w:lang w:val="en-US" w:eastAsia="zh-CN"/>
        </w:rPr>
        <w:t>454.92</w:t>
      </w:r>
      <w:r>
        <w:rPr>
          <w:rFonts w:hint="default" w:ascii="Times New Roman" w:hAnsi="Times New Roman" w:cs="Times New Roman" w:eastAsiaTheme="minorEastAsia"/>
          <w:color w:val="auto"/>
          <w:sz w:val="32"/>
          <w:szCs w:val="32"/>
        </w:rPr>
        <w:t>万元</w:t>
      </w:r>
      <w:r>
        <w:rPr>
          <w:rFonts w:hint="default" w:ascii="Times New Roman" w:hAnsi="Times New Roman" w:eastAsia="仿宋_GB2312" w:cs="Times New Roman"/>
          <w:color w:val="auto"/>
          <w:sz w:val="32"/>
          <w:szCs w:val="32"/>
        </w:rPr>
        <w:t>、上年结转</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万元，政府性基金预算本年收入</w:t>
      </w:r>
      <w:r>
        <w:rPr>
          <w:rFonts w:hint="default" w:ascii="Times New Roman" w:hAnsi="Times New Roman" w:eastAsia="仿宋_GB2312" w:cs="Times New Roman"/>
          <w:color w:val="auto"/>
          <w:sz w:val="32"/>
          <w:szCs w:val="32"/>
          <w:lang w:val="en-US" w:eastAsia="zh-CN"/>
        </w:rPr>
        <w:t>50309.00</w:t>
      </w:r>
      <w:r>
        <w:rPr>
          <w:rFonts w:hint="default" w:ascii="Times New Roman" w:hAnsi="Times New Roman" w:eastAsia="仿宋_GB2312" w:cs="Times New Roman"/>
          <w:color w:val="auto"/>
          <w:sz w:val="32"/>
          <w:szCs w:val="32"/>
        </w:rPr>
        <w:t>万元、上年结转</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万元</w:t>
      </w:r>
      <w:r>
        <w:rPr>
          <w:rFonts w:hint="default" w:ascii="Times New Roman" w:hAnsi="Times New Roman" w:cs="Times New Roman" w:eastAsiaTheme="minorEastAsia"/>
          <w:color w:val="auto"/>
          <w:sz w:val="32"/>
          <w:szCs w:val="32"/>
        </w:rPr>
        <w:t>；支出总计</w:t>
      </w:r>
      <w:r>
        <w:rPr>
          <w:rFonts w:hint="default" w:ascii="Times New Roman" w:hAnsi="Times New Roman" w:cs="Times New Roman"/>
          <w:color w:val="auto"/>
          <w:sz w:val="32"/>
          <w:szCs w:val="32"/>
          <w:lang w:val="en-US" w:eastAsia="zh-CN"/>
        </w:rPr>
        <w:t>50763.92</w:t>
      </w:r>
      <w:r>
        <w:rPr>
          <w:rFonts w:hint="default" w:ascii="Times New Roman" w:hAnsi="Times New Roman" w:cs="Times New Roman" w:eastAsiaTheme="minorEastAsia"/>
          <w:color w:val="auto"/>
          <w:sz w:val="32"/>
          <w:szCs w:val="32"/>
        </w:rPr>
        <w:t>万元，包括</w:t>
      </w:r>
      <w:r>
        <w:rPr>
          <w:rFonts w:hint="default" w:ascii="Times New Roman" w:hAnsi="Times New Roman" w:cs="Times New Roman" w:eastAsiaTheme="minorEastAsia"/>
          <w:color w:val="auto"/>
          <w:sz w:val="32"/>
          <w:szCs w:val="32"/>
          <w:lang w:eastAsia="zh-CN"/>
        </w:rPr>
        <w:t>社会保障和就业支出</w:t>
      </w:r>
      <w:r>
        <w:rPr>
          <w:rFonts w:hint="default" w:ascii="Times New Roman" w:hAnsi="Times New Roman" w:cs="Times New Roman"/>
          <w:color w:val="auto"/>
          <w:sz w:val="32"/>
          <w:szCs w:val="32"/>
          <w:lang w:val="en-US" w:eastAsia="zh-CN"/>
        </w:rPr>
        <w:t>38.78</w:t>
      </w:r>
      <w:r>
        <w:rPr>
          <w:rFonts w:hint="default" w:ascii="Times New Roman" w:hAnsi="Times New Roman" w:cs="Times New Roman" w:eastAsiaTheme="minorEastAsia"/>
          <w:color w:val="auto"/>
          <w:sz w:val="32"/>
          <w:szCs w:val="32"/>
          <w:lang w:val="en-US" w:eastAsia="zh-CN"/>
        </w:rPr>
        <w:t>万元、卫生健康支出</w:t>
      </w:r>
      <w:r>
        <w:rPr>
          <w:rFonts w:hint="default" w:ascii="Times New Roman" w:hAnsi="Times New Roman" w:cs="Times New Roman"/>
          <w:color w:val="auto"/>
          <w:sz w:val="32"/>
          <w:szCs w:val="32"/>
          <w:lang w:val="en-US" w:eastAsia="zh-CN"/>
        </w:rPr>
        <w:t>18.54</w:t>
      </w:r>
      <w:r>
        <w:rPr>
          <w:rFonts w:hint="default" w:ascii="Times New Roman" w:hAnsi="Times New Roman" w:cs="Times New Roman" w:eastAsiaTheme="minorEastAsia"/>
          <w:color w:val="auto"/>
          <w:sz w:val="32"/>
          <w:szCs w:val="32"/>
          <w:lang w:val="en-US" w:eastAsia="zh-CN"/>
        </w:rPr>
        <w:t>万元</w:t>
      </w:r>
      <w:r>
        <w:rPr>
          <w:rFonts w:hint="default" w:ascii="Times New Roman" w:hAnsi="Times New Roman" w:cs="Times New Roman"/>
          <w:color w:val="auto"/>
          <w:sz w:val="32"/>
          <w:szCs w:val="32"/>
          <w:lang w:val="en-US" w:eastAsia="zh-CN"/>
        </w:rPr>
        <w:t>、城乡社区支出50309.00万元、</w:t>
      </w:r>
      <w:r>
        <w:rPr>
          <w:rFonts w:hint="default" w:ascii="Times New Roman" w:hAnsi="Times New Roman" w:cs="Times New Roman" w:eastAsiaTheme="minorEastAsia"/>
          <w:color w:val="auto"/>
          <w:sz w:val="32"/>
          <w:szCs w:val="32"/>
          <w:lang w:val="en-US" w:eastAsia="zh-CN"/>
        </w:rPr>
        <w:t>自然资源海洋气象等支出</w:t>
      </w:r>
      <w:r>
        <w:rPr>
          <w:rFonts w:hint="default" w:ascii="Times New Roman" w:hAnsi="Times New Roman" w:cs="Times New Roman"/>
          <w:color w:val="auto"/>
          <w:sz w:val="32"/>
          <w:szCs w:val="32"/>
          <w:lang w:val="en-US" w:eastAsia="zh-CN"/>
        </w:rPr>
        <w:t>384.12</w:t>
      </w:r>
      <w:r>
        <w:rPr>
          <w:rFonts w:hint="default" w:ascii="Times New Roman" w:hAnsi="Times New Roman" w:cs="Times New Roman" w:eastAsiaTheme="minorEastAsia"/>
          <w:color w:val="auto"/>
          <w:sz w:val="32"/>
          <w:szCs w:val="32"/>
          <w:lang w:val="en-US" w:eastAsia="zh-CN"/>
        </w:rPr>
        <w:t>万元</w:t>
      </w:r>
      <w:r>
        <w:rPr>
          <w:rFonts w:hint="default" w:ascii="Times New Roman" w:hAnsi="Times New Roman" w:cs="Times New Roman" w:eastAsiaTheme="minorEastAsia"/>
          <w:color w:val="auto"/>
          <w:sz w:val="32"/>
          <w:szCs w:val="32"/>
        </w:rPr>
        <w:t>、</w:t>
      </w:r>
      <w:r>
        <w:rPr>
          <w:rFonts w:hint="default" w:ascii="Times New Roman" w:hAnsi="Times New Roman" w:cs="Times New Roman" w:eastAsiaTheme="minorEastAsia"/>
          <w:color w:val="auto"/>
          <w:sz w:val="32"/>
          <w:szCs w:val="32"/>
          <w:lang w:eastAsia="zh-CN"/>
        </w:rPr>
        <w:t>住房保障支出</w:t>
      </w:r>
      <w:r>
        <w:rPr>
          <w:rFonts w:hint="default" w:ascii="Times New Roman" w:hAnsi="Times New Roman" w:cs="Times New Roman"/>
          <w:color w:val="auto"/>
          <w:sz w:val="32"/>
          <w:szCs w:val="32"/>
          <w:lang w:val="en-US" w:eastAsia="zh-CN"/>
        </w:rPr>
        <w:t>13.47</w:t>
      </w:r>
      <w:r>
        <w:rPr>
          <w:rFonts w:hint="default" w:ascii="Times New Roman" w:hAnsi="Times New Roman" w:cs="Times New Roman" w:eastAsiaTheme="minorEastAsia"/>
          <w:color w:val="auto"/>
          <w:sz w:val="32"/>
          <w:szCs w:val="32"/>
          <w:lang w:val="en-US" w:eastAsia="zh-CN"/>
        </w:rPr>
        <w:t>万元</w:t>
      </w:r>
      <w:r>
        <w:rPr>
          <w:rFonts w:hint="default" w:ascii="Times New Roman" w:hAnsi="Times New Roman" w:cs="Times New Roman" w:eastAsiaTheme="minorEastAsia"/>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sz w:val="32"/>
          <w:szCs w:val="32"/>
          <w:lang w:val="en-US" w:eastAsia="zh-CN"/>
        </w:rPr>
      </w:pPr>
      <w:r>
        <w:rPr>
          <w:rFonts w:hint="default" w:ascii="Times New Roman" w:hAnsi="Times New Roman" w:eastAsia="黑体" w:cs="Times New Roman"/>
          <w:color w:val="auto"/>
          <w:sz w:val="32"/>
          <w:szCs w:val="32"/>
          <w:lang w:eastAsia="zh-CN"/>
        </w:rPr>
        <w:t>二、</w:t>
      </w:r>
      <w:r>
        <w:rPr>
          <w:rFonts w:hint="default" w:ascii="Times New Roman" w:hAnsi="Times New Roman" w:eastAsia="黑体" w:cs="Times New Roman"/>
          <w:color w:val="auto"/>
          <w:sz w:val="32"/>
          <w:szCs w:val="32"/>
        </w:rPr>
        <w:t>关于</w:t>
      </w:r>
      <w:r>
        <w:rPr>
          <w:rFonts w:hint="default" w:ascii="Times New Roman" w:hAnsi="Times New Roman" w:eastAsia="黑体" w:cs="Times New Roman"/>
          <w:color w:val="auto"/>
          <w:sz w:val="32"/>
          <w:szCs w:val="32"/>
          <w:lang w:val="en-US" w:eastAsia="zh-CN"/>
        </w:rPr>
        <w:t>三亚市土地整理中心2024年一般公共预算当</w:t>
      </w:r>
      <w:r>
        <w:rPr>
          <w:rFonts w:hint="eastAsia" w:ascii="黑体" w:hAnsi="黑体" w:eastAsia="黑体" w:cs="黑体"/>
          <w:color w:val="auto"/>
          <w:sz w:val="32"/>
          <w:szCs w:val="32"/>
          <w:lang w:val="en-US" w:eastAsia="zh-CN"/>
        </w:rPr>
        <w:t>年拨款情况说明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（一）一般公共预算当年规模变化情况</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FF0000"/>
          <w:sz w:val="32"/>
          <w:szCs w:val="32"/>
          <w:lang w:val="en-US" w:eastAsia="zh-CN"/>
        </w:rPr>
      </w:pPr>
      <w:r>
        <w:rPr>
          <w:rFonts w:hint="eastAsia" w:ascii="仿宋" w:hAnsi="仿宋" w:eastAsia="仿宋" w:cs="仿宋"/>
          <w:color w:val="auto"/>
          <w:sz w:val="32"/>
          <w:szCs w:val="32"/>
          <w:lang w:val="en-US" w:eastAsia="zh-CN"/>
        </w:rPr>
        <w:t>三亚市土地整理中心</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lang w:val="en-US" w:eastAsia="zh-CN"/>
        </w:rPr>
        <w:t>年</w:t>
      </w:r>
      <w:r>
        <w:rPr>
          <w:rFonts w:hint="eastAsia" w:ascii="仿宋" w:hAnsi="仿宋" w:eastAsia="仿宋" w:cs="仿宋"/>
          <w:color w:val="auto"/>
          <w:sz w:val="32"/>
          <w:szCs w:val="32"/>
        </w:rPr>
        <w:t>一般公共预算当年拨款</w:t>
      </w:r>
      <w:r>
        <w:rPr>
          <w:rFonts w:hint="eastAsia" w:ascii="Times New Roman" w:hAnsi="Times New Roman" w:eastAsia="仿宋" w:cs="Times New Roman"/>
          <w:color w:val="auto"/>
          <w:sz w:val="32"/>
          <w:szCs w:val="32"/>
          <w:lang w:val="en-US" w:eastAsia="zh-CN"/>
        </w:rPr>
        <w:t>454.92</w:t>
      </w:r>
      <w:r>
        <w:rPr>
          <w:rFonts w:hint="eastAsia" w:ascii="仿宋" w:hAnsi="仿宋" w:eastAsia="仿宋" w:cs="仿宋"/>
          <w:color w:val="auto"/>
          <w:sz w:val="32"/>
          <w:szCs w:val="32"/>
        </w:rPr>
        <w:t>万元，比上年预算数增加</w:t>
      </w:r>
      <w:r>
        <w:rPr>
          <w:rFonts w:hint="eastAsia" w:ascii="Times New Roman" w:hAnsi="Times New Roman" w:eastAsia="仿宋" w:cs="Times New Roman"/>
          <w:color w:val="auto"/>
          <w:sz w:val="32"/>
          <w:szCs w:val="32"/>
          <w:lang w:val="en-US" w:eastAsia="zh-CN"/>
        </w:rPr>
        <w:t>3.95</w:t>
      </w:r>
      <w:r>
        <w:rPr>
          <w:rFonts w:hint="eastAsia" w:ascii="仿宋" w:hAnsi="仿宋" w:eastAsia="仿宋" w:cs="仿宋"/>
          <w:color w:val="auto"/>
          <w:sz w:val="32"/>
          <w:szCs w:val="32"/>
        </w:rPr>
        <w:t>万元，</w:t>
      </w:r>
      <w:r>
        <w:rPr>
          <w:rFonts w:hint="eastAsia" w:ascii="仿宋" w:hAnsi="仿宋" w:eastAsia="仿宋" w:cs="仿宋"/>
          <w:color w:val="auto"/>
          <w:sz w:val="32"/>
          <w:szCs w:val="32"/>
          <w:highlight w:val="none"/>
          <w:lang w:eastAsia="zh-CN"/>
        </w:rPr>
        <w:t>主要原因为补缴在编人员职业年金（单位部分）及</w:t>
      </w:r>
      <w:r>
        <w:rPr>
          <w:rFonts w:hint="eastAsia" w:ascii="仿宋" w:hAnsi="仿宋" w:eastAsia="仿宋" w:cs="仿宋"/>
          <w:color w:val="auto"/>
          <w:sz w:val="32"/>
          <w:szCs w:val="32"/>
          <w:highlight w:val="none"/>
          <w:lang w:val="en-US" w:eastAsia="zh-CN"/>
        </w:rPr>
        <w:t>年度正常晋升</w:t>
      </w:r>
      <w:r>
        <w:rPr>
          <w:rFonts w:hint="eastAsia" w:ascii="仿宋" w:hAnsi="仿宋" w:eastAsia="仿宋" w:cs="仿宋"/>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jc w:val="left"/>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（二）一般公共预算当年拨款结构情况</w:t>
      </w:r>
    </w:p>
    <w:p>
      <w:pPr>
        <w:keepNext w:val="0"/>
        <w:keepLines w:val="0"/>
        <w:pageBreakBefore w:val="0"/>
        <w:widowControl w:val="0"/>
        <w:kinsoku/>
        <w:wordWrap/>
        <w:overflowPunct/>
        <w:topLinePunct w:val="0"/>
        <w:autoSpaceDE/>
        <w:autoSpaceDN/>
        <w:bidi w:val="0"/>
        <w:adjustRightInd/>
        <w:snapToGrid/>
        <w:spacing w:line="572" w:lineRule="exact"/>
        <w:ind w:firstLine="800" w:firstLineChars="25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社会保障和就业</w:t>
      </w:r>
      <w:r>
        <w:rPr>
          <w:rFonts w:hint="eastAsia" w:ascii="仿宋" w:hAnsi="仿宋" w:eastAsia="仿宋" w:cs="仿宋"/>
          <w:color w:val="auto"/>
          <w:sz w:val="32"/>
          <w:szCs w:val="32"/>
        </w:rPr>
        <w:t>支出</w:t>
      </w:r>
      <w:r>
        <w:rPr>
          <w:rFonts w:hint="eastAsia" w:ascii="Times New Roman" w:hAnsi="Times New Roman" w:eastAsia="仿宋" w:cs="Times New Roman"/>
          <w:color w:val="auto"/>
          <w:sz w:val="32"/>
          <w:szCs w:val="32"/>
          <w:lang w:val="en-US" w:eastAsia="zh-CN"/>
        </w:rPr>
        <w:t>38.78</w:t>
      </w:r>
      <w:r>
        <w:rPr>
          <w:rFonts w:hint="eastAsia" w:ascii="仿宋" w:hAnsi="仿宋" w:eastAsia="仿宋" w:cs="仿宋"/>
          <w:color w:val="auto"/>
          <w:sz w:val="32"/>
          <w:szCs w:val="32"/>
        </w:rPr>
        <w:t>万元，占</w:t>
      </w:r>
      <w:r>
        <w:rPr>
          <w:rFonts w:hint="default" w:ascii="Times New Roman" w:hAnsi="Times New Roman" w:eastAsia="仿宋" w:cs="Times New Roman"/>
          <w:color w:val="auto"/>
          <w:sz w:val="32"/>
          <w:szCs w:val="32"/>
          <w:lang w:val="en-US" w:eastAsia="zh-CN"/>
        </w:rPr>
        <w:t>8</w:t>
      </w:r>
      <w:r>
        <w:rPr>
          <w:rFonts w:hint="eastAsia" w:ascii="Times New Roman" w:hAnsi="Times New Roman" w:eastAsia="仿宋" w:cs="Times New Roman"/>
          <w:color w:val="auto"/>
          <w:sz w:val="32"/>
          <w:szCs w:val="32"/>
          <w:lang w:val="en-US" w:eastAsia="zh-CN"/>
        </w:rPr>
        <w:t>.5</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卫生健康</w:t>
      </w:r>
      <w:r>
        <w:rPr>
          <w:rFonts w:hint="eastAsia" w:ascii="仿宋" w:hAnsi="仿宋" w:eastAsia="仿宋" w:cs="仿宋"/>
          <w:color w:val="auto"/>
          <w:sz w:val="32"/>
          <w:szCs w:val="32"/>
        </w:rPr>
        <w:t>支出</w:t>
      </w:r>
      <w:r>
        <w:rPr>
          <w:rFonts w:hint="eastAsia" w:ascii="仿宋" w:hAnsi="仿宋" w:eastAsia="仿宋" w:cs="仿宋"/>
          <w:color w:val="auto"/>
          <w:sz w:val="32"/>
          <w:szCs w:val="32"/>
          <w:lang w:val="en-US" w:eastAsia="zh-CN"/>
        </w:rPr>
        <w:t>18.54</w:t>
      </w:r>
      <w:r>
        <w:rPr>
          <w:rFonts w:hint="eastAsia" w:ascii="仿宋" w:hAnsi="仿宋" w:eastAsia="仿宋" w:cs="仿宋"/>
          <w:color w:val="auto"/>
          <w:sz w:val="32"/>
          <w:szCs w:val="32"/>
        </w:rPr>
        <w:t>万元，占</w:t>
      </w:r>
      <w:r>
        <w:rPr>
          <w:rFonts w:hint="eastAsia" w:ascii="Times New Roman" w:hAnsi="Times New Roman" w:eastAsia="仿宋" w:cs="Times New Roman"/>
          <w:color w:val="auto"/>
          <w:sz w:val="32"/>
          <w:szCs w:val="32"/>
          <w:lang w:val="en-US" w:eastAsia="zh-CN"/>
        </w:rPr>
        <w:t>4.1</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自然资源海洋气象等</w:t>
      </w:r>
      <w:r>
        <w:rPr>
          <w:rFonts w:hint="eastAsia" w:ascii="仿宋" w:hAnsi="仿宋" w:eastAsia="仿宋" w:cs="仿宋"/>
          <w:color w:val="auto"/>
          <w:sz w:val="32"/>
          <w:szCs w:val="32"/>
        </w:rPr>
        <w:t>支出</w:t>
      </w:r>
      <w:r>
        <w:rPr>
          <w:rFonts w:hint="default" w:ascii="Times New Roman" w:hAnsi="Times New Roman" w:eastAsia="仿宋" w:cs="Times New Roman"/>
          <w:color w:val="auto"/>
          <w:sz w:val="32"/>
          <w:szCs w:val="32"/>
          <w:lang w:val="en-US" w:eastAsia="zh-CN"/>
        </w:rPr>
        <w:t>38</w:t>
      </w:r>
      <w:r>
        <w:rPr>
          <w:rFonts w:hint="eastAsia" w:ascii="Times New Roman" w:hAnsi="Times New Roman" w:eastAsia="仿宋" w:cs="Times New Roman"/>
          <w:color w:val="auto"/>
          <w:sz w:val="32"/>
          <w:szCs w:val="32"/>
          <w:lang w:val="en-US" w:eastAsia="zh-CN"/>
        </w:rPr>
        <w:t>4.12</w:t>
      </w:r>
      <w:r>
        <w:rPr>
          <w:rFonts w:hint="eastAsia" w:ascii="仿宋" w:hAnsi="仿宋" w:eastAsia="仿宋" w:cs="仿宋"/>
          <w:color w:val="auto"/>
          <w:sz w:val="32"/>
          <w:szCs w:val="32"/>
        </w:rPr>
        <w:t>万元，占</w:t>
      </w:r>
      <w:r>
        <w:rPr>
          <w:rFonts w:hint="default" w:ascii="Times New Roman" w:hAnsi="Times New Roman" w:eastAsia="仿宋" w:cs="Times New Roman"/>
          <w:color w:val="auto"/>
          <w:sz w:val="32"/>
          <w:szCs w:val="32"/>
          <w:lang w:val="en-US" w:eastAsia="zh-CN"/>
        </w:rPr>
        <w:t>8</w:t>
      </w:r>
      <w:r>
        <w:rPr>
          <w:rFonts w:hint="eastAsia" w:ascii="Times New Roman" w:hAnsi="Times New Roman" w:eastAsia="仿宋" w:cs="Times New Roman"/>
          <w:color w:val="auto"/>
          <w:sz w:val="32"/>
          <w:szCs w:val="32"/>
          <w:lang w:val="en-US" w:eastAsia="zh-CN"/>
        </w:rPr>
        <w:t>4</w:t>
      </w:r>
      <w:r>
        <w:rPr>
          <w:rFonts w:hint="default"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住房保障</w:t>
      </w:r>
      <w:r>
        <w:rPr>
          <w:rFonts w:hint="eastAsia" w:ascii="仿宋" w:hAnsi="仿宋" w:eastAsia="仿宋" w:cs="仿宋"/>
          <w:color w:val="auto"/>
          <w:sz w:val="32"/>
          <w:szCs w:val="32"/>
        </w:rPr>
        <w:t>支出</w:t>
      </w:r>
      <w:r>
        <w:rPr>
          <w:rFonts w:hint="eastAsia" w:ascii="仿宋" w:hAnsi="仿宋" w:eastAsia="仿宋" w:cs="仿宋"/>
          <w:color w:val="auto"/>
          <w:sz w:val="32"/>
          <w:szCs w:val="32"/>
          <w:lang w:val="en-US" w:eastAsia="zh-CN"/>
        </w:rPr>
        <w:t>13.47</w:t>
      </w:r>
      <w:r>
        <w:rPr>
          <w:rFonts w:hint="eastAsia" w:ascii="仿宋" w:hAnsi="仿宋" w:eastAsia="仿宋" w:cs="仿宋"/>
          <w:color w:val="auto"/>
          <w:sz w:val="32"/>
          <w:szCs w:val="32"/>
        </w:rPr>
        <w:t>万元，占</w:t>
      </w:r>
      <w:r>
        <w:rPr>
          <w:rFonts w:hint="eastAsia" w:ascii="Times New Roman" w:hAnsi="Times New Roman" w:eastAsia="仿宋" w:cs="Times New Roman"/>
          <w:color w:val="auto"/>
          <w:sz w:val="32"/>
          <w:szCs w:val="32"/>
          <w:lang w:val="en-US" w:eastAsia="zh-CN"/>
        </w:rPr>
        <w:t>3</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（三）一般公共预算当年拨款具体使用情况</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rPr>
        <w:t>1.社会保障和就业支出（类）行政事业单位养老支出（款）机关事业单位基本养老保险缴费支出（项）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15.85</w:t>
      </w:r>
      <w:r>
        <w:rPr>
          <w:rFonts w:hint="eastAsia" w:ascii="仿宋" w:hAnsi="仿宋" w:eastAsia="仿宋" w:cs="仿宋"/>
          <w:color w:val="auto"/>
          <w:sz w:val="32"/>
          <w:szCs w:val="32"/>
        </w:rPr>
        <w:t>万元，比上年预算数增加</w:t>
      </w:r>
      <w:r>
        <w:rPr>
          <w:rFonts w:hint="eastAsia" w:ascii="Times New Roman" w:hAnsi="Times New Roman" w:eastAsia="仿宋" w:cs="Times New Roman"/>
          <w:color w:val="auto"/>
          <w:sz w:val="32"/>
          <w:szCs w:val="32"/>
          <w:lang w:val="en-US" w:eastAsia="zh-CN"/>
        </w:rPr>
        <w:t>1.15</w:t>
      </w:r>
      <w:r>
        <w:rPr>
          <w:rFonts w:hint="eastAsia" w:ascii="仿宋" w:hAnsi="仿宋" w:eastAsia="仿宋" w:cs="仿宋"/>
          <w:color w:val="auto"/>
          <w:sz w:val="32"/>
          <w:szCs w:val="32"/>
        </w:rPr>
        <w:t>万元，</w:t>
      </w:r>
      <w:r>
        <w:rPr>
          <w:rFonts w:hint="eastAsia" w:ascii="仿宋" w:hAnsi="仿宋" w:eastAsia="仿宋" w:cs="仿宋"/>
          <w:color w:val="auto"/>
          <w:sz w:val="32"/>
          <w:szCs w:val="32"/>
          <w:highlight w:val="none"/>
          <w:lang w:eastAsia="zh-CN"/>
        </w:rPr>
        <w:t>主要原因为</w:t>
      </w:r>
      <w:r>
        <w:rPr>
          <w:rFonts w:hint="eastAsia" w:ascii="仿宋" w:hAnsi="仿宋" w:eastAsia="仿宋" w:cs="仿宋"/>
          <w:color w:val="auto"/>
          <w:sz w:val="32"/>
          <w:szCs w:val="32"/>
          <w:highlight w:val="none"/>
          <w:lang w:val="en-US" w:eastAsia="zh-CN"/>
        </w:rPr>
        <w:t>在编人员年度工资正常晋升</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.社会保障和就业支出（类）行政事业单位养老支出（款）机关事业单位职业年金缴费支出（项）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22.93</w:t>
      </w:r>
      <w:r>
        <w:rPr>
          <w:rFonts w:hint="eastAsia" w:ascii="仿宋" w:hAnsi="仿宋" w:eastAsia="仿宋" w:cs="仿宋"/>
          <w:color w:val="auto"/>
          <w:sz w:val="32"/>
          <w:szCs w:val="32"/>
        </w:rPr>
        <w:t>万元，比上年预算数增加</w:t>
      </w:r>
      <w:r>
        <w:rPr>
          <w:rFonts w:hint="eastAsia" w:ascii="Times New Roman" w:hAnsi="Times New Roman" w:eastAsia="仿宋" w:cs="Times New Roman"/>
          <w:color w:val="auto"/>
          <w:sz w:val="32"/>
          <w:szCs w:val="32"/>
          <w:lang w:val="en-US" w:eastAsia="zh-CN"/>
        </w:rPr>
        <w:t>1.38</w:t>
      </w:r>
      <w:r>
        <w:rPr>
          <w:rFonts w:hint="eastAsia" w:ascii="仿宋" w:hAnsi="仿宋" w:eastAsia="仿宋" w:cs="仿宋"/>
          <w:color w:val="auto"/>
          <w:sz w:val="32"/>
          <w:szCs w:val="32"/>
        </w:rPr>
        <w:t>万元，</w:t>
      </w:r>
      <w:r>
        <w:rPr>
          <w:rFonts w:hint="eastAsia" w:ascii="仿宋" w:hAnsi="仿宋" w:eastAsia="仿宋" w:cs="仿宋"/>
          <w:color w:val="auto"/>
          <w:sz w:val="32"/>
          <w:szCs w:val="32"/>
          <w:highlight w:val="none"/>
          <w:lang w:eastAsia="zh-CN"/>
        </w:rPr>
        <w:t>主要原因为</w:t>
      </w:r>
      <w:r>
        <w:rPr>
          <w:rFonts w:hint="eastAsia" w:ascii="仿宋" w:hAnsi="仿宋" w:eastAsia="仿宋" w:cs="仿宋"/>
          <w:color w:val="auto"/>
          <w:sz w:val="32"/>
          <w:szCs w:val="32"/>
          <w:highlight w:val="none"/>
          <w:lang w:val="en-US" w:eastAsia="zh-CN"/>
        </w:rPr>
        <w:t>在编人员年度工资正常晋升</w:t>
      </w:r>
      <w:r>
        <w:rPr>
          <w:rFonts w:hint="eastAsia" w:ascii="仿宋" w:hAnsi="仿宋" w:eastAsia="仿宋" w:cs="仿宋"/>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FF0000"/>
          <w:sz w:val="32"/>
          <w:szCs w:val="32"/>
          <w:highlight w:val="yellow"/>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.卫生健康支出（类）行政事业单位医疗（款）事业单位医疗（项）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7.32</w:t>
      </w:r>
      <w:r>
        <w:rPr>
          <w:rFonts w:hint="eastAsia" w:ascii="仿宋" w:hAnsi="仿宋" w:eastAsia="仿宋" w:cs="仿宋"/>
          <w:color w:val="auto"/>
          <w:sz w:val="32"/>
          <w:szCs w:val="32"/>
        </w:rPr>
        <w:t>万元，比上年预算数增加</w:t>
      </w:r>
      <w:r>
        <w:rPr>
          <w:rFonts w:hint="eastAsia" w:ascii="Times New Roman" w:hAnsi="Times New Roman" w:eastAsia="仿宋" w:cs="Times New Roman"/>
          <w:color w:val="auto"/>
          <w:sz w:val="32"/>
          <w:szCs w:val="32"/>
          <w:lang w:val="en-US" w:eastAsia="zh-CN"/>
        </w:rPr>
        <w:t>0.62</w:t>
      </w:r>
      <w:r>
        <w:rPr>
          <w:rFonts w:hint="eastAsia" w:ascii="仿宋" w:hAnsi="仿宋" w:eastAsia="仿宋" w:cs="仿宋"/>
          <w:color w:val="auto"/>
          <w:sz w:val="32"/>
          <w:szCs w:val="32"/>
        </w:rPr>
        <w:t>万元，</w:t>
      </w:r>
      <w:r>
        <w:rPr>
          <w:rFonts w:hint="eastAsia" w:ascii="仿宋" w:hAnsi="仿宋" w:eastAsia="仿宋" w:cs="仿宋"/>
          <w:color w:val="auto"/>
          <w:sz w:val="32"/>
          <w:szCs w:val="32"/>
          <w:highlight w:val="none"/>
          <w:lang w:eastAsia="zh-CN"/>
        </w:rPr>
        <w:t>主要原因为</w:t>
      </w:r>
      <w:r>
        <w:rPr>
          <w:rFonts w:hint="eastAsia" w:ascii="仿宋" w:hAnsi="仿宋" w:eastAsia="仿宋" w:cs="仿宋"/>
          <w:color w:val="auto"/>
          <w:sz w:val="32"/>
          <w:szCs w:val="32"/>
          <w:highlight w:val="none"/>
          <w:lang w:val="en-US" w:eastAsia="zh-CN"/>
        </w:rPr>
        <w:t>在编人员年度工资正常晋升</w:t>
      </w:r>
      <w:r>
        <w:rPr>
          <w:rFonts w:hint="eastAsia" w:ascii="仿宋" w:hAnsi="仿宋" w:eastAsia="仿宋" w:cs="仿宋"/>
          <w:color w:val="auto"/>
          <w:sz w:val="32"/>
          <w:szCs w:val="32"/>
          <w:highlight w:val="none"/>
          <w:lang w:eastAsia="zh-CN"/>
        </w:rPr>
        <w:t>。</w:t>
      </w:r>
      <w:r>
        <w:rPr>
          <w:rFonts w:hint="eastAsia" w:ascii="仿宋" w:hAnsi="仿宋" w:eastAsia="仿宋" w:cs="仿宋"/>
          <w:color w:val="FF0000"/>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FF0000"/>
          <w:sz w:val="32"/>
          <w:szCs w:val="32"/>
          <w:highlight w:val="none"/>
          <w:lang w:val="en-US" w:eastAsia="zh-CN"/>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.卫生健康支出（类）行政事业单位医疗（款）公务员医疗补助（项）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11.23</w:t>
      </w:r>
      <w:r>
        <w:rPr>
          <w:rFonts w:hint="eastAsia" w:ascii="仿宋" w:hAnsi="仿宋" w:eastAsia="仿宋" w:cs="仿宋"/>
          <w:color w:val="auto"/>
          <w:sz w:val="32"/>
          <w:szCs w:val="32"/>
        </w:rPr>
        <w:t>万元，比上年预算数增加</w:t>
      </w:r>
      <w:r>
        <w:rPr>
          <w:rFonts w:hint="eastAsia" w:ascii="Times New Roman" w:hAnsi="Times New Roman" w:eastAsia="仿宋" w:cs="Times New Roman"/>
          <w:color w:val="auto"/>
          <w:sz w:val="32"/>
          <w:szCs w:val="32"/>
          <w:lang w:val="en-US" w:eastAsia="zh-CN"/>
        </w:rPr>
        <w:t>0.88</w:t>
      </w:r>
      <w:r>
        <w:rPr>
          <w:rFonts w:hint="eastAsia" w:ascii="仿宋" w:hAnsi="仿宋" w:eastAsia="仿宋" w:cs="仿宋"/>
          <w:color w:val="auto"/>
          <w:sz w:val="32"/>
          <w:szCs w:val="32"/>
        </w:rPr>
        <w:t>万元，</w:t>
      </w:r>
      <w:r>
        <w:rPr>
          <w:rFonts w:hint="eastAsia" w:ascii="仿宋" w:hAnsi="仿宋" w:eastAsia="仿宋" w:cs="仿宋"/>
          <w:color w:val="auto"/>
          <w:sz w:val="32"/>
          <w:szCs w:val="32"/>
          <w:highlight w:val="none"/>
          <w:lang w:eastAsia="zh-CN"/>
        </w:rPr>
        <w:t>主要原因为</w:t>
      </w:r>
      <w:r>
        <w:rPr>
          <w:rFonts w:hint="eastAsia" w:ascii="仿宋" w:hAnsi="仿宋" w:eastAsia="仿宋" w:cs="仿宋"/>
          <w:color w:val="auto"/>
          <w:sz w:val="32"/>
          <w:szCs w:val="32"/>
          <w:highlight w:val="none"/>
          <w:lang w:val="en-US" w:eastAsia="zh-CN"/>
        </w:rPr>
        <w:t>在编人员年度工资正常晋升</w:t>
      </w:r>
      <w:r>
        <w:rPr>
          <w:rFonts w:hint="eastAsia" w:ascii="仿宋" w:hAnsi="仿宋" w:eastAsia="仿宋" w:cs="仿宋"/>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.自然资源海洋气象等支出（类）自然资源事务（款）土地资源储备支出（项）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247</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比上年预算数</w:t>
      </w:r>
      <w:r>
        <w:rPr>
          <w:rFonts w:hint="eastAsia" w:ascii="仿宋" w:hAnsi="仿宋" w:eastAsia="仿宋" w:cs="仿宋"/>
          <w:color w:val="auto"/>
          <w:sz w:val="32"/>
          <w:szCs w:val="32"/>
          <w:lang w:eastAsia="zh-CN"/>
        </w:rPr>
        <w:t>减少</w:t>
      </w:r>
      <w:r>
        <w:rPr>
          <w:rFonts w:hint="eastAsia" w:ascii="Times New Roman" w:hAnsi="Times New Roman" w:eastAsia="仿宋" w:cs="Times New Roman"/>
          <w:color w:val="auto"/>
          <w:sz w:val="32"/>
          <w:szCs w:val="32"/>
          <w:lang w:val="en-US" w:eastAsia="zh-CN"/>
        </w:rPr>
        <w:t>13</w:t>
      </w:r>
      <w:r>
        <w:rPr>
          <w:rFonts w:hint="eastAsia" w:ascii="仿宋" w:hAnsi="仿宋" w:eastAsia="仿宋" w:cs="仿宋"/>
          <w:color w:val="auto"/>
          <w:sz w:val="32"/>
          <w:szCs w:val="32"/>
        </w:rPr>
        <w:t>万元，</w:t>
      </w:r>
      <w:r>
        <w:rPr>
          <w:rFonts w:hint="eastAsia" w:ascii="仿宋" w:hAnsi="仿宋" w:eastAsia="仿宋" w:cs="仿宋"/>
          <w:color w:val="auto"/>
          <w:sz w:val="32"/>
          <w:szCs w:val="32"/>
          <w:highlight w:val="none"/>
          <w:lang w:eastAsia="zh-CN"/>
        </w:rPr>
        <w:t>主要原因为根据财政预算要求，压减</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lang w:eastAsia="zh-CN"/>
        </w:rPr>
        <w:t>经费</w:t>
      </w:r>
      <w:r>
        <w:rPr>
          <w:rFonts w:hint="eastAsia" w:ascii="仿宋" w:hAnsi="仿宋" w:eastAsia="仿宋" w:cs="仿宋"/>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.自然资源海洋气象等支出（类）自然资源事务（款）事业运行（项）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127.12</w:t>
      </w:r>
      <w:r>
        <w:rPr>
          <w:rFonts w:hint="eastAsia" w:ascii="仿宋" w:hAnsi="仿宋" w:eastAsia="仿宋" w:cs="仿宋"/>
          <w:color w:val="auto"/>
          <w:sz w:val="32"/>
          <w:szCs w:val="32"/>
        </w:rPr>
        <w:t>万元，比上年预算数</w:t>
      </w:r>
      <w:r>
        <w:rPr>
          <w:rFonts w:hint="eastAsia" w:ascii="仿宋" w:hAnsi="仿宋" w:eastAsia="仿宋" w:cs="仿宋"/>
          <w:color w:val="auto"/>
          <w:sz w:val="32"/>
          <w:szCs w:val="32"/>
          <w:lang w:eastAsia="zh-CN"/>
        </w:rPr>
        <w:t>增加</w:t>
      </w:r>
      <w:r>
        <w:rPr>
          <w:rFonts w:hint="eastAsia" w:ascii="Times New Roman" w:hAnsi="Times New Roman" w:eastAsia="仿宋" w:cs="Times New Roman"/>
          <w:color w:val="auto"/>
          <w:sz w:val="32"/>
          <w:szCs w:val="32"/>
          <w:lang w:val="en-US" w:eastAsia="zh-CN"/>
        </w:rPr>
        <w:t>9.08</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highlight w:val="none"/>
          <w:lang w:eastAsia="zh-CN"/>
        </w:rPr>
        <w:t>主要原因为</w:t>
      </w:r>
      <w:r>
        <w:rPr>
          <w:rFonts w:hint="eastAsia" w:ascii="仿宋" w:hAnsi="仿宋" w:eastAsia="仿宋" w:cs="仿宋"/>
          <w:color w:val="auto"/>
          <w:sz w:val="32"/>
          <w:szCs w:val="32"/>
          <w:highlight w:val="none"/>
          <w:lang w:val="en-US" w:eastAsia="zh-CN"/>
        </w:rPr>
        <w:t>在编人员年度工资正常晋升</w:t>
      </w:r>
      <w:r>
        <w:rPr>
          <w:rFonts w:hint="eastAsia" w:ascii="仿宋" w:hAnsi="仿宋" w:eastAsia="仿宋" w:cs="仿宋"/>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.自然资源海洋气象等支出（类）自然资源事务（款）其他自然资源事务支出（项）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10</w:t>
      </w:r>
      <w:r>
        <w:rPr>
          <w:rFonts w:hint="eastAsia" w:ascii="仿宋" w:hAnsi="仿宋" w:eastAsia="仿宋" w:cs="仿宋"/>
          <w:color w:val="auto"/>
          <w:sz w:val="32"/>
          <w:szCs w:val="32"/>
        </w:rPr>
        <w:t>万元，比上年预算数</w:t>
      </w:r>
      <w:r>
        <w:rPr>
          <w:rFonts w:hint="eastAsia" w:ascii="仿宋" w:hAnsi="仿宋" w:eastAsia="仿宋" w:cs="仿宋"/>
          <w:color w:val="auto"/>
          <w:sz w:val="32"/>
          <w:szCs w:val="32"/>
          <w:lang w:eastAsia="zh-CN"/>
        </w:rPr>
        <w:t>增加</w:t>
      </w:r>
      <w:r>
        <w:rPr>
          <w:rFonts w:hint="eastAsia" w:ascii="Times New Roman" w:hAnsi="Times New Roman" w:eastAsia="仿宋" w:cs="Times New Roman"/>
          <w:color w:val="auto"/>
          <w:sz w:val="32"/>
          <w:szCs w:val="32"/>
          <w:lang w:val="en-US" w:eastAsia="zh-CN"/>
        </w:rPr>
        <w:t>3</w:t>
      </w:r>
      <w:r>
        <w:rPr>
          <w:rFonts w:hint="eastAsia" w:ascii="仿宋" w:hAnsi="仿宋" w:eastAsia="仿宋" w:cs="仿宋"/>
          <w:color w:val="auto"/>
          <w:sz w:val="32"/>
          <w:szCs w:val="32"/>
        </w:rPr>
        <w:t>万元</w:t>
      </w:r>
      <w:r>
        <w:rPr>
          <w:rFonts w:hint="eastAsia" w:ascii="仿宋" w:hAnsi="仿宋" w:eastAsia="仿宋" w:cs="仿宋"/>
          <w:color w:val="auto"/>
          <w:sz w:val="32"/>
          <w:szCs w:val="32"/>
          <w:highlight w:val="none"/>
          <w:lang w:eastAsia="zh-CN"/>
        </w:rPr>
        <w:t>，主要原因为新增购置固定资产。</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FF0000"/>
          <w:sz w:val="32"/>
          <w:szCs w:val="32"/>
          <w:highlight w:val="none"/>
        </w:rPr>
      </w:pP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.住房保障支出（类）住房改革支出（款）住房公积金（项）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13.47</w:t>
      </w:r>
      <w:r>
        <w:rPr>
          <w:rFonts w:hint="eastAsia" w:ascii="仿宋" w:hAnsi="仿宋" w:eastAsia="仿宋" w:cs="仿宋"/>
          <w:color w:val="auto"/>
          <w:sz w:val="32"/>
          <w:szCs w:val="32"/>
        </w:rPr>
        <w:t>万元，比上年预算数增加</w:t>
      </w:r>
      <w:r>
        <w:rPr>
          <w:rFonts w:hint="eastAsia" w:ascii="Times New Roman" w:hAnsi="Times New Roman" w:eastAsia="仿宋" w:cs="Times New Roman"/>
          <w:color w:val="auto"/>
          <w:sz w:val="32"/>
          <w:szCs w:val="32"/>
          <w:lang w:val="en-US" w:eastAsia="zh-CN"/>
        </w:rPr>
        <w:t>1.05</w:t>
      </w:r>
      <w:r>
        <w:rPr>
          <w:rFonts w:hint="eastAsia" w:ascii="仿宋" w:hAnsi="仿宋" w:eastAsia="仿宋" w:cs="仿宋"/>
          <w:color w:val="auto"/>
          <w:sz w:val="32"/>
          <w:szCs w:val="32"/>
        </w:rPr>
        <w:t>万元</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主要原因为</w:t>
      </w:r>
      <w:r>
        <w:rPr>
          <w:rFonts w:hint="eastAsia" w:ascii="仿宋" w:hAnsi="仿宋" w:eastAsia="仿宋" w:cs="仿宋"/>
          <w:color w:val="auto"/>
          <w:sz w:val="32"/>
          <w:szCs w:val="32"/>
          <w:highlight w:val="none"/>
          <w:lang w:val="en-US" w:eastAsia="zh-CN"/>
        </w:rPr>
        <w:t>在编人员年度工资正常晋升</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三、</w:t>
      </w:r>
      <w:r>
        <w:rPr>
          <w:rFonts w:hint="eastAsia" w:ascii="黑体" w:hAnsi="黑体" w:eastAsia="黑体" w:cs="黑体"/>
          <w:color w:val="auto"/>
          <w:sz w:val="32"/>
          <w:szCs w:val="32"/>
        </w:rPr>
        <w:t>关于</w:t>
      </w:r>
      <w:r>
        <w:rPr>
          <w:rFonts w:hint="eastAsia" w:ascii="黑体" w:hAnsi="黑体" w:eastAsia="黑体" w:cs="黑体"/>
          <w:color w:val="auto"/>
          <w:sz w:val="32"/>
          <w:szCs w:val="32"/>
          <w:lang w:val="en-US" w:eastAsia="zh-CN"/>
        </w:rPr>
        <w:t>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年一般公共预算基本支出情况说明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三亚市土地整理中心</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lang w:val="en-US" w:eastAsia="zh-CN"/>
        </w:rPr>
        <w:t>年</w:t>
      </w:r>
      <w:r>
        <w:rPr>
          <w:rFonts w:hint="eastAsia" w:ascii="仿宋" w:hAnsi="仿宋" w:eastAsia="仿宋" w:cs="仿宋"/>
          <w:color w:val="auto"/>
          <w:sz w:val="32"/>
          <w:szCs w:val="32"/>
        </w:rPr>
        <w:t>一般公共预算基本支出为</w:t>
      </w:r>
      <w:r>
        <w:rPr>
          <w:rFonts w:hint="eastAsia" w:ascii="Times New Roman" w:hAnsi="Times New Roman" w:eastAsia="仿宋" w:cs="Times New Roman"/>
          <w:color w:val="auto"/>
          <w:sz w:val="32"/>
          <w:szCs w:val="32"/>
          <w:lang w:val="en-US" w:eastAsia="zh-CN"/>
        </w:rPr>
        <w:t>197.92</w:t>
      </w:r>
      <w:r>
        <w:rPr>
          <w:rFonts w:hint="eastAsia" w:ascii="仿宋" w:hAnsi="仿宋" w:eastAsia="仿宋" w:cs="仿宋"/>
          <w:color w:val="auto"/>
          <w:sz w:val="32"/>
          <w:szCs w:val="32"/>
        </w:rPr>
        <w:t>万元，其中：</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人员经费</w:t>
      </w:r>
      <w:r>
        <w:rPr>
          <w:rFonts w:hint="eastAsia" w:ascii="Times New Roman" w:hAnsi="Times New Roman" w:eastAsia="仿宋" w:cs="Times New Roman"/>
          <w:color w:val="auto"/>
          <w:sz w:val="32"/>
          <w:szCs w:val="32"/>
          <w:lang w:val="en-US" w:eastAsia="zh-CN"/>
        </w:rPr>
        <w:t>186.97</w:t>
      </w:r>
      <w:r>
        <w:rPr>
          <w:rFonts w:hint="eastAsia" w:ascii="仿宋" w:hAnsi="仿宋" w:eastAsia="仿宋" w:cs="仿宋"/>
          <w:color w:val="auto"/>
          <w:sz w:val="32"/>
          <w:szCs w:val="32"/>
        </w:rPr>
        <w:t>万元，主要包括：基本工资、津贴补贴、</w:t>
      </w:r>
      <w:r>
        <w:rPr>
          <w:rFonts w:hint="eastAsia" w:ascii="仿宋" w:hAnsi="仿宋" w:eastAsia="仿宋" w:cs="仿宋"/>
          <w:color w:val="auto"/>
          <w:sz w:val="32"/>
          <w:szCs w:val="32"/>
          <w:lang w:eastAsia="zh-CN"/>
        </w:rPr>
        <w:t>奖金、绩效工资、机关事业单位基本养老保险缴费、职业年金缴费、职工基本医疗保险费、公务员医疗补助缴费、其他社会保障缴费、住房公积金、医疗费、其他工资福利支出、邮电费。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公用经费</w:t>
      </w:r>
      <w:r>
        <w:rPr>
          <w:rFonts w:hint="eastAsia" w:ascii="Times New Roman" w:hAnsi="Times New Roman" w:eastAsia="仿宋" w:cs="Times New Roman"/>
          <w:color w:val="auto"/>
          <w:sz w:val="32"/>
          <w:szCs w:val="32"/>
          <w:lang w:val="en-US" w:eastAsia="zh-CN"/>
        </w:rPr>
        <w:t>2</w:t>
      </w:r>
      <w:r>
        <w:rPr>
          <w:rFonts w:hint="eastAsia" w:ascii="仿宋" w:hAnsi="仿宋" w:eastAsia="仿宋" w:cs="仿宋"/>
          <w:color w:val="auto"/>
          <w:sz w:val="32"/>
          <w:szCs w:val="32"/>
        </w:rPr>
        <w:t>万元，主要包括：办公费、</w:t>
      </w:r>
      <w:r>
        <w:rPr>
          <w:rFonts w:hint="eastAsia" w:ascii="仿宋" w:hAnsi="仿宋" w:eastAsia="仿宋" w:cs="仿宋"/>
          <w:color w:val="auto"/>
          <w:sz w:val="32"/>
          <w:szCs w:val="32"/>
          <w:lang w:eastAsia="zh-CN"/>
        </w:rPr>
        <w:t>其他社会保障缴费、培训费、工会经费、福利费、公务用车运行维护费、其他商品和服务支出。</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年“三公”经费预算情况说明</w:t>
      </w:r>
    </w:p>
    <w:p>
      <w:pPr>
        <w:keepNext w:val="0"/>
        <w:keepLines w:val="0"/>
        <w:pageBreakBefore w:val="0"/>
        <w:widowControl w:val="0"/>
        <w:numPr>
          <w:ilvl w:val="0"/>
          <w:numId w:val="4"/>
        </w:numPr>
        <w:kinsoku/>
        <w:wordWrap/>
        <w:overflowPunct/>
        <w:topLinePunct w:val="0"/>
        <w:autoSpaceDE/>
        <w:autoSpaceDN/>
        <w:bidi w:val="0"/>
        <w:adjustRightInd/>
        <w:snapToGrid/>
        <w:spacing w:line="572" w:lineRule="exact"/>
        <w:ind w:left="-10" w:leftChars="0" w:firstLine="640" w:firstLineChars="0"/>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lang w:val="en-US" w:eastAsia="zh-CN"/>
        </w:rPr>
        <w:t>三亚市土地整理中心</w:t>
      </w:r>
      <w:r>
        <w:rPr>
          <w:rFonts w:hint="default" w:ascii="Times New Roman" w:hAnsi="Times New Roman" w:eastAsia="楷体" w:cs="Times New Roman"/>
          <w:color w:val="auto"/>
          <w:sz w:val="32"/>
          <w:szCs w:val="32"/>
          <w:lang w:val="en-US" w:eastAsia="zh-CN"/>
        </w:rPr>
        <w:t>202</w:t>
      </w:r>
      <w:r>
        <w:rPr>
          <w:rFonts w:hint="eastAsia" w:ascii="Times New Roman" w:hAnsi="Times New Roman" w:eastAsia="楷体" w:cs="Times New Roman"/>
          <w:color w:val="auto"/>
          <w:sz w:val="32"/>
          <w:szCs w:val="32"/>
          <w:lang w:val="en-US" w:eastAsia="zh-CN"/>
        </w:rPr>
        <w:t>4</w:t>
      </w:r>
      <w:r>
        <w:rPr>
          <w:rFonts w:hint="eastAsia" w:ascii="楷体" w:hAnsi="楷体" w:eastAsia="楷体" w:cs="楷体"/>
          <w:color w:val="auto"/>
          <w:sz w:val="32"/>
          <w:szCs w:val="32"/>
          <w:lang w:val="en-US" w:eastAsia="zh-CN"/>
        </w:rPr>
        <w:t>年</w:t>
      </w:r>
      <w:r>
        <w:rPr>
          <w:rFonts w:hint="eastAsia" w:ascii="楷体" w:hAnsi="楷体" w:eastAsia="楷体" w:cs="楷体"/>
          <w:color w:val="auto"/>
          <w:sz w:val="32"/>
          <w:szCs w:val="32"/>
        </w:rPr>
        <w:t>一般公共预算“三公”经费预算数为</w:t>
      </w:r>
      <w:r>
        <w:rPr>
          <w:rFonts w:hint="default" w:ascii="Times New Roman" w:hAnsi="Times New Roman" w:eastAsia="楷体" w:cs="Times New Roman"/>
          <w:color w:val="auto"/>
          <w:sz w:val="32"/>
          <w:szCs w:val="32"/>
          <w:lang w:val="en-US" w:eastAsia="zh-CN"/>
        </w:rPr>
        <w:t>1.65</w:t>
      </w:r>
      <w:r>
        <w:rPr>
          <w:rFonts w:hint="eastAsia" w:ascii="楷体" w:hAnsi="楷体" w:eastAsia="楷体" w:cs="楷体"/>
          <w:color w:val="auto"/>
          <w:sz w:val="32"/>
          <w:szCs w:val="32"/>
        </w:rPr>
        <w:t>万元，其中：</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shd w:val="clear" w:color="auto" w:fill="FFFFFF"/>
        </w:rPr>
        <w:t>因公出国（境）经费</w:t>
      </w:r>
      <w:r>
        <w:rPr>
          <w:rFonts w:hint="default" w:ascii="Times New Roman" w:hAnsi="Times New Roman" w:eastAsia="仿宋" w:cs="Times New Roman"/>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shd w:val="clear" w:color="auto" w:fill="FFFFFF"/>
        </w:rPr>
        <w:t>，与上年预算持平</w:t>
      </w:r>
      <w:r>
        <w:rPr>
          <w:rFonts w:hint="eastAsia" w:ascii="仿宋" w:hAnsi="仿宋" w:eastAsia="仿宋" w:cs="仿宋"/>
          <w:color w:val="auto"/>
          <w:sz w:val="32"/>
          <w:szCs w:val="32"/>
          <w:shd w:val="clear" w:color="auto" w:fill="FFFFFF"/>
          <w:lang w:eastAsia="zh-CN"/>
        </w:rPr>
        <w:t>；</w:t>
      </w:r>
      <w:r>
        <w:rPr>
          <w:rFonts w:ascii="Times New Roman" w:hAnsi="Times New Roman" w:eastAsia="仿宋_GB2312" w:cs="Times New Roman"/>
          <w:sz w:val="32"/>
          <w:shd w:val="clear" w:color="auto" w:fill="FFFFFF"/>
        </w:rPr>
        <w:t>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w:t>
      </w:r>
      <w:r>
        <w:rPr>
          <w:rFonts w:hint="default" w:ascii="Times New Roman" w:hAnsi="Times New Roman" w:eastAsia="仿宋" w:cs="Times New Roman"/>
          <w:color w:val="auto"/>
          <w:sz w:val="32"/>
          <w:szCs w:val="32"/>
          <w:shd w:val="clear" w:color="auto" w:fill="FFFFFF"/>
          <w:lang w:val="en-US" w:eastAsia="zh-CN"/>
        </w:rPr>
        <w:t>202</w:t>
      </w:r>
      <w:r>
        <w:rPr>
          <w:rFonts w:hint="eastAsia" w:ascii="Times New Roman" w:hAnsi="Times New Roman" w:eastAsia="仿宋" w:cs="Times New Roman"/>
          <w:color w:val="auto"/>
          <w:sz w:val="32"/>
          <w:szCs w:val="32"/>
          <w:shd w:val="clear" w:color="auto" w:fill="FFFFFF"/>
          <w:lang w:val="en-US" w:eastAsia="zh-CN"/>
        </w:rPr>
        <w:t>4</w:t>
      </w:r>
      <w:r>
        <w:rPr>
          <w:rFonts w:hint="eastAsia" w:ascii="仿宋" w:hAnsi="仿宋" w:eastAsia="仿宋" w:cs="仿宋"/>
          <w:color w:val="auto"/>
          <w:sz w:val="32"/>
          <w:szCs w:val="32"/>
          <w:shd w:val="clear" w:color="auto" w:fill="FFFFFF"/>
          <w:lang w:val="en-US" w:eastAsia="zh-CN"/>
        </w:rPr>
        <w:t>年无出国计划</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rPr>
        <w:t>公务用车购置及运行费</w:t>
      </w:r>
      <w:r>
        <w:rPr>
          <w:rFonts w:hint="default" w:ascii="Times New Roman" w:hAnsi="Times New Roman" w:eastAsia="仿宋" w:cs="Times New Roman"/>
          <w:color w:val="auto"/>
          <w:sz w:val="32"/>
          <w:szCs w:val="32"/>
          <w:shd w:val="clear" w:color="auto" w:fill="FFFFFF"/>
          <w:lang w:val="en-US" w:eastAsia="zh-CN"/>
        </w:rPr>
        <w:t>1.65</w:t>
      </w:r>
      <w:r>
        <w:rPr>
          <w:rFonts w:hint="eastAsia" w:ascii="仿宋" w:hAnsi="仿宋" w:eastAsia="仿宋" w:cs="仿宋"/>
          <w:color w:val="auto"/>
          <w:sz w:val="32"/>
          <w:szCs w:val="32"/>
        </w:rPr>
        <w:t>万元（其中</w:t>
      </w:r>
      <w:r>
        <w:rPr>
          <w:rFonts w:hint="eastAsia" w:ascii="仿宋" w:hAnsi="仿宋" w:eastAsia="仿宋" w:cs="仿宋"/>
          <w:color w:val="auto"/>
          <w:sz w:val="32"/>
          <w:szCs w:val="32"/>
          <w:shd w:val="clear" w:color="auto" w:fill="FFFFFF"/>
        </w:rPr>
        <w:t>公务用车运行费</w:t>
      </w:r>
      <w:r>
        <w:rPr>
          <w:rFonts w:hint="default" w:ascii="Times New Roman" w:hAnsi="Times New Roman" w:eastAsia="仿宋" w:cs="Times New Roman"/>
          <w:color w:val="auto"/>
          <w:sz w:val="32"/>
          <w:szCs w:val="32"/>
          <w:lang w:val="en-US" w:eastAsia="zh-CN"/>
        </w:rPr>
        <w:t>1.65</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，公车购置费</w:t>
      </w:r>
      <w:r>
        <w:rPr>
          <w:rFonts w:hint="default" w:ascii="Times New Roman" w:hAnsi="Times New Roman" w:eastAsia="仿宋" w:cs="Times New Roman"/>
          <w:color w:val="auto"/>
          <w:sz w:val="32"/>
          <w:szCs w:val="32"/>
          <w:lang w:val="en-US" w:eastAsia="zh-CN"/>
        </w:rPr>
        <w:t>0</w:t>
      </w:r>
      <w:r>
        <w:rPr>
          <w:rFonts w:hint="eastAsia" w:ascii="仿宋" w:hAnsi="仿宋" w:eastAsia="仿宋" w:cs="仿宋"/>
          <w:color w:val="auto"/>
          <w:sz w:val="32"/>
          <w:szCs w:val="32"/>
          <w:lang w:val="en-US" w:eastAsia="zh-CN"/>
        </w:rPr>
        <w:t>万元</w:t>
      </w:r>
      <w:r>
        <w:rPr>
          <w:rFonts w:hint="eastAsia" w:ascii="仿宋" w:hAnsi="仿宋" w:eastAsia="仿宋" w:cs="仿宋"/>
          <w:color w:val="auto"/>
          <w:sz w:val="32"/>
          <w:szCs w:val="32"/>
        </w:rPr>
        <w:t>）</w:t>
      </w:r>
      <w:r>
        <w:rPr>
          <w:rFonts w:hint="eastAsia" w:ascii="仿宋" w:hAnsi="仿宋" w:eastAsia="仿宋" w:cs="仿宋"/>
          <w:color w:val="auto"/>
          <w:sz w:val="32"/>
          <w:szCs w:val="32"/>
          <w:shd w:val="clear" w:color="auto" w:fill="FFFFFF"/>
        </w:rPr>
        <w:t>，与上年预算持平。</w:t>
      </w:r>
      <w:r>
        <w:rPr>
          <w:rFonts w:hint="default" w:ascii="Times New Roman" w:hAnsi="Times New Roman" w:eastAsia="仿宋" w:cs="Times New Roman"/>
          <w:color w:val="auto"/>
          <w:sz w:val="32"/>
          <w:szCs w:val="32"/>
          <w:shd w:val="clear" w:color="auto" w:fill="FFFFFF"/>
        </w:rPr>
        <w:t>公务车保有量</w:t>
      </w:r>
      <w:r>
        <w:rPr>
          <w:rFonts w:hint="default" w:ascii="Times New Roman" w:hAnsi="Times New Roman" w:eastAsia="仿宋" w:cs="Times New Roman"/>
          <w:color w:val="auto"/>
          <w:sz w:val="32"/>
          <w:szCs w:val="32"/>
          <w:lang w:val="en-US" w:eastAsia="zh-CN"/>
        </w:rPr>
        <w:t>1</w:t>
      </w:r>
      <w:r>
        <w:rPr>
          <w:rFonts w:hint="default" w:ascii="Times New Roman" w:hAnsi="Times New Roman" w:eastAsia="仿宋" w:cs="Times New Roman"/>
          <w:color w:val="auto"/>
          <w:sz w:val="32"/>
          <w:szCs w:val="32"/>
        </w:rPr>
        <w:t>辆，计划购置</w:t>
      </w:r>
      <w:r>
        <w:rPr>
          <w:rFonts w:hint="default" w:ascii="Times New Roman" w:hAnsi="Times New Roman" w:eastAsia="仿宋" w:cs="Times New Roman"/>
          <w:color w:val="auto"/>
          <w:sz w:val="32"/>
          <w:szCs w:val="32"/>
          <w:lang w:val="en-US" w:eastAsia="zh-CN"/>
        </w:rPr>
        <w:t>0</w:t>
      </w:r>
      <w:r>
        <w:rPr>
          <w:rFonts w:hint="default" w:ascii="Times New Roman" w:hAnsi="Times New Roman" w:eastAsia="仿宋" w:cs="Times New Roman"/>
          <w:color w:val="auto"/>
          <w:sz w:val="32"/>
          <w:szCs w:val="32"/>
        </w:rPr>
        <w:t>辆</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公务接待费</w:t>
      </w:r>
      <w:r>
        <w:rPr>
          <w:rFonts w:hint="default" w:ascii="Times New Roman" w:hAnsi="Times New Roman" w:eastAsia="仿宋" w:cs="Times New Roman"/>
          <w:color w:val="auto"/>
          <w:sz w:val="32"/>
          <w:szCs w:val="32"/>
          <w:lang w:val="en-US" w:eastAsia="zh-CN"/>
        </w:rPr>
        <w:t>0</w:t>
      </w:r>
      <w:r>
        <w:rPr>
          <w:rFonts w:hint="default" w:ascii="Times New Roman" w:hAnsi="Times New Roman" w:eastAsia="仿宋" w:cs="Times New Roman"/>
          <w:color w:val="auto"/>
          <w:sz w:val="32"/>
          <w:szCs w:val="32"/>
          <w:shd w:val="clear" w:color="auto" w:fill="FFFFFF"/>
        </w:rPr>
        <w:t>万元，与</w:t>
      </w:r>
      <w:r>
        <w:rPr>
          <w:rFonts w:hint="eastAsia" w:ascii="仿宋" w:hAnsi="仿宋" w:eastAsia="仿宋" w:cs="仿宋"/>
          <w:color w:val="auto"/>
          <w:sz w:val="32"/>
          <w:szCs w:val="32"/>
          <w:shd w:val="clear" w:color="auto" w:fill="FFFFFF"/>
        </w:rPr>
        <w:t>上年预算持平</w:t>
      </w:r>
      <w:r>
        <w:rPr>
          <w:rFonts w:hint="eastAsia" w:ascii="仿宋" w:hAnsi="仿宋" w:eastAsia="仿宋" w:cs="仿宋"/>
          <w:color w:val="auto"/>
          <w:sz w:val="32"/>
          <w:szCs w:val="32"/>
          <w:shd w:val="clear" w:color="auto" w:fill="FFFFFF"/>
          <w:lang w:eastAsia="zh-CN"/>
        </w:rPr>
        <w:t>，计划接待</w:t>
      </w:r>
      <w:r>
        <w:rPr>
          <w:rFonts w:hint="default" w:ascii="Times New Roman" w:hAnsi="Times New Roman" w:eastAsia="仿宋" w:cs="Times New Roman"/>
          <w:color w:val="auto"/>
          <w:sz w:val="32"/>
          <w:szCs w:val="32"/>
          <w:shd w:val="clear" w:color="auto" w:fill="FFFFFF"/>
          <w:lang w:val="en-US" w:eastAsia="zh-CN"/>
        </w:rPr>
        <w:t>0</w:t>
      </w:r>
      <w:r>
        <w:rPr>
          <w:rFonts w:hint="eastAsia" w:ascii="仿宋" w:hAnsi="仿宋" w:eastAsia="仿宋" w:cs="仿宋"/>
          <w:color w:val="auto"/>
          <w:sz w:val="32"/>
          <w:szCs w:val="32"/>
          <w:shd w:val="clear" w:color="auto" w:fill="FFFFFF"/>
          <w:lang w:val="en-US" w:eastAsia="zh-CN"/>
        </w:rPr>
        <w:t>批次</w:t>
      </w:r>
      <w:r>
        <w:rPr>
          <w:rFonts w:hint="default" w:ascii="Times New Roman" w:hAnsi="Times New Roman" w:eastAsia="仿宋" w:cs="Times New Roman"/>
          <w:color w:val="auto"/>
          <w:sz w:val="32"/>
          <w:szCs w:val="32"/>
          <w:shd w:val="clear" w:color="auto" w:fill="FFFFFF"/>
          <w:lang w:val="en-US" w:eastAsia="zh-CN"/>
        </w:rPr>
        <w:t>0</w:t>
      </w:r>
      <w:r>
        <w:rPr>
          <w:rFonts w:hint="eastAsia" w:ascii="仿宋" w:hAnsi="仿宋" w:eastAsia="仿宋" w:cs="仿宋"/>
          <w:color w:val="auto"/>
          <w:sz w:val="32"/>
          <w:szCs w:val="32"/>
          <w:shd w:val="clear" w:color="auto" w:fill="FFFFFF"/>
          <w:lang w:val="en-US" w:eastAsia="zh-CN"/>
        </w:rPr>
        <w:t>人</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（二）</w:t>
      </w:r>
      <w:r>
        <w:rPr>
          <w:rFonts w:hint="eastAsia" w:ascii="楷体" w:hAnsi="楷体" w:eastAsia="楷体" w:cs="楷体"/>
          <w:color w:val="auto"/>
          <w:sz w:val="32"/>
          <w:szCs w:val="32"/>
          <w:lang w:val="en-US" w:eastAsia="zh-CN"/>
        </w:rPr>
        <w:t>三亚市土地整理中心</w:t>
      </w:r>
      <w:r>
        <w:rPr>
          <w:rFonts w:hint="default" w:ascii="Times New Roman" w:hAnsi="Times New Roman" w:eastAsia="楷体" w:cs="Times New Roman"/>
          <w:color w:val="auto"/>
          <w:sz w:val="32"/>
          <w:szCs w:val="32"/>
          <w:lang w:val="en-US" w:eastAsia="zh-CN"/>
        </w:rPr>
        <w:t>202</w:t>
      </w:r>
      <w:r>
        <w:rPr>
          <w:rFonts w:hint="eastAsia" w:ascii="Times New Roman" w:hAnsi="Times New Roman" w:eastAsia="楷体" w:cs="Times New Roman"/>
          <w:color w:val="auto"/>
          <w:sz w:val="32"/>
          <w:szCs w:val="32"/>
          <w:lang w:val="en-US" w:eastAsia="zh-CN"/>
        </w:rPr>
        <w:t>4</w:t>
      </w:r>
      <w:r>
        <w:rPr>
          <w:rFonts w:hint="eastAsia" w:ascii="楷体" w:hAnsi="楷体" w:eastAsia="楷体" w:cs="楷体"/>
          <w:color w:val="auto"/>
          <w:sz w:val="32"/>
          <w:szCs w:val="32"/>
          <w:lang w:val="en-US" w:eastAsia="zh-CN"/>
        </w:rPr>
        <w:t>年</w:t>
      </w:r>
      <w:r>
        <w:rPr>
          <w:rFonts w:hint="eastAsia" w:ascii="楷体" w:hAnsi="楷体" w:eastAsia="楷体" w:cs="楷体"/>
          <w:color w:val="auto"/>
          <w:sz w:val="32"/>
          <w:szCs w:val="32"/>
        </w:rPr>
        <w:t>政府性基金预算“三公”经费预算数为</w:t>
      </w:r>
      <w:r>
        <w:rPr>
          <w:rFonts w:hint="default" w:ascii="Times New Roman" w:hAnsi="Times New Roman" w:eastAsia="楷体" w:cs="Times New Roman"/>
          <w:color w:val="auto"/>
          <w:sz w:val="32"/>
          <w:szCs w:val="32"/>
          <w:lang w:val="en-US" w:eastAsia="zh-CN"/>
        </w:rPr>
        <w:t>0</w:t>
      </w:r>
      <w:r>
        <w:rPr>
          <w:rFonts w:hint="eastAsia" w:ascii="楷体" w:hAnsi="楷体" w:eastAsia="楷体" w:cs="楷体"/>
          <w:color w:val="auto"/>
          <w:sz w:val="32"/>
          <w:szCs w:val="32"/>
        </w:rPr>
        <w:t>万元，其中：</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textAlignment w:val="auto"/>
        <w:rPr>
          <w:rFonts w:hint="eastAsia" w:asciiTheme="minorEastAsia" w:hAnsiTheme="minorEastAsia" w:eastAsiaTheme="minorEastAsia" w:cstheme="minorEastAsia"/>
          <w:color w:val="auto"/>
          <w:sz w:val="32"/>
          <w:szCs w:val="32"/>
          <w:shd w:val="clear" w:color="auto" w:fill="FFFFFF"/>
          <w:lang w:eastAsia="zh-CN"/>
        </w:rPr>
      </w:pPr>
      <w:r>
        <w:rPr>
          <w:rFonts w:hint="eastAsia" w:ascii="仿宋" w:hAnsi="仿宋" w:eastAsia="仿宋" w:cs="仿宋"/>
          <w:color w:val="auto"/>
          <w:sz w:val="32"/>
          <w:szCs w:val="32"/>
          <w:shd w:val="clear" w:color="auto" w:fill="FFFFFF"/>
        </w:rPr>
        <w:t>因公出国（境）经费</w:t>
      </w:r>
      <w:r>
        <w:rPr>
          <w:rFonts w:hint="default" w:ascii="Times New Roman" w:hAnsi="Times New Roman" w:eastAsia="仿宋" w:cs="Times New Roman"/>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shd w:val="clear" w:color="auto" w:fill="FFFFFF"/>
        </w:rPr>
        <w:t>，与上年预算持平</w:t>
      </w:r>
      <w:r>
        <w:rPr>
          <w:rFonts w:hint="eastAsia" w:ascii="仿宋" w:hAnsi="仿宋" w:eastAsia="仿宋" w:cs="仿宋"/>
          <w:color w:val="auto"/>
          <w:sz w:val="32"/>
          <w:szCs w:val="32"/>
          <w:shd w:val="clear" w:color="auto" w:fill="FFFFFF"/>
          <w:lang w:eastAsia="zh-CN"/>
        </w:rPr>
        <w:t>，</w:t>
      </w:r>
      <w:r>
        <w:rPr>
          <w:rFonts w:hint="default" w:ascii="Times New Roman" w:hAnsi="Times New Roman" w:eastAsia="仿宋" w:cs="Times New Roman"/>
          <w:color w:val="auto"/>
          <w:sz w:val="32"/>
          <w:szCs w:val="32"/>
          <w:shd w:val="clear" w:color="auto" w:fill="FFFFFF"/>
          <w:lang w:val="en-US" w:eastAsia="zh-CN"/>
        </w:rPr>
        <w:t>202</w:t>
      </w:r>
      <w:r>
        <w:rPr>
          <w:rFonts w:hint="eastAsia" w:ascii="Times New Roman" w:hAnsi="Times New Roman" w:eastAsia="仿宋" w:cs="Times New Roman"/>
          <w:color w:val="auto"/>
          <w:sz w:val="32"/>
          <w:szCs w:val="32"/>
          <w:shd w:val="clear" w:color="auto" w:fill="FFFFFF"/>
          <w:lang w:val="en-US" w:eastAsia="zh-CN"/>
        </w:rPr>
        <w:t>4</w:t>
      </w:r>
      <w:r>
        <w:rPr>
          <w:rFonts w:hint="eastAsia" w:ascii="仿宋" w:hAnsi="仿宋" w:eastAsia="仿宋" w:cs="仿宋"/>
          <w:color w:val="auto"/>
          <w:sz w:val="32"/>
          <w:szCs w:val="32"/>
          <w:shd w:val="clear" w:color="auto" w:fill="FFFFFF"/>
          <w:lang w:val="en-US" w:eastAsia="zh-CN"/>
        </w:rPr>
        <w:t>年无出国安排计划</w:t>
      </w:r>
      <w:r>
        <w:rPr>
          <w:rFonts w:hint="eastAsia" w:ascii="仿宋" w:hAnsi="仿宋" w:eastAsia="仿宋" w:cs="仿宋"/>
          <w:color w:val="auto"/>
          <w:sz w:val="32"/>
          <w:szCs w:val="32"/>
          <w:shd w:val="clear" w:color="auto" w:fill="FFFFFF"/>
        </w:rPr>
        <w:t>；公务用车购置及运行费</w:t>
      </w:r>
      <w:r>
        <w:rPr>
          <w:rFonts w:hint="default" w:ascii="Times New Roman" w:hAnsi="Times New Roman" w:eastAsia="仿宋" w:cs="Times New Roman"/>
          <w:color w:val="auto"/>
          <w:sz w:val="32"/>
          <w:szCs w:val="32"/>
          <w:lang w:val="en-US" w:eastAsia="zh-CN"/>
        </w:rPr>
        <w:t>0</w:t>
      </w:r>
      <w:r>
        <w:rPr>
          <w:rFonts w:hint="eastAsia" w:ascii="仿宋" w:hAnsi="仿宋" w:eastAsia="仿宋" w:cs="仿宋"/>
          <w:color w:val="auto"/>
          <w:sz w:val="32"/>
          <w:szCs w:val="32"/>
        </w:rPr>
        <w:t>万元（其中，</w:t>
      </w:r>
      <w:r>
        <w:rPr>
          <w:rFonts w:hint="eastAsia" w:ascii="仿宋" w:hAnsi="仿宋" w:eastAsia="仿宋" w:cs="仿宋"/>
          <w:color w:val="auto"/>
          <w:sz w:val="32"/>
          <w:szCs w:val="32"/>
          <w:shd w:val="clear" w:color="auto" w:fill="FFFFFF"/>
        </w:rPr>
        <w:t>公务用车购置费</w:t>
      </w:r>
      <w:r>
        <w:rPr>
          <w:rFonts w:hint="default" w:ascii="Times New Roman" w:hAnsi="Times New Roman" w:eastAsia="仿宋" w:cs="Times New Roman"/>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shd w:val="clear" w:color="auto" w:fill="FFFFFF"/>
        </w:rPr>
        <w:t>，公务用车运行费</w:t>
      </w:r>
      <w:r>
        <w:rPr>
          <w:rFonts w:hint="default" w:ascii="Times New Roman" w:hAnsi="Times New Roman" w:eastAsia="仿宋" w:cs="Times New Roman"/>
          <w:color w:val="auto"/>
          <w:sz w:val="32"/>
          <w:szCs w:val="32"/>
          <w:lang w:val="en-US" w:eastAsia="zh-CN"/>
        </w:rPr>
        <w:t>0</w:t>
      </w:r>
      <w:r>
        <w:rPr>
          <w:rFonts w:hint="eastAsia" w:ascii="仿宋" w:hAnsi="仿宋" w:eastAsia="仿宋" w:cs="仿宋"/>
          <w:color w:val="auto"/>
          <w:sz w:val="32"/>
          <w:szCs w:val="32"/>
        </w:rPr>
        <w:t>万元）</w:t>
      </w:r>
      <w:r>
        <w:rPr>
          <w:rFonts w:hint="eastAsia" w:ascii="仿宋" w:hAnsi="仿宋" w:eastAsia="仿宋" w:cs="仿宋"/>
          <w:color w:val="auto"/>
          <w:sz w:val="32"/>
          <w:szCs w:val="32"/>
          <w:shd w:val="clear" w:color="auto" w:fill="FFFFFF"/>
        </w:rPr>
        <w:t>，与上年预算持平</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rPr>
        <w:t>公务车保有量</w:t>
      </w:r>
      <w:r>
        <w:rPr>
          <w:rFonts w:hint="default" w:ascii="Times New Roman" w:hAnsi="Times New Roman" w:eastAsia="仿宋" w:cs="Times New Roman"/>
          <w:color w:val="auto"/>
          <w:sz w:val="32"/>
          <w:szCs w:val="32"/>
          <w:lang w:val="en-US" w:eastAsia="zh-CN"/>
        </w:rPr>
        <w:t>1</w:t>
      </w:r>
      <w:r>
        <w:rPr>
          <w:rFonts w:hint="eastAsia" w:ascii="仿宋" w:hAnsi="仿宋" w:eastAsia="仿宋" w:cs="仿宋"/>
          <w:color w:val="auto"/>
          <w:sz w:val="32"/>
          <w:szCs w:val="32"/>
        </w:rPr>
        <w:t>辆，计划购置</w:t>
      </w:r>
      <w:r>
        <w:rPr>
          <w:rFonts w:hint="default" w:ascii="Times New Roman" w:hAnsi="Times New Roman" w:eastAsia="仿宋" w:cs="Times New Roman"/>
          <w:color w:val="auto"/>
          <w:sz w:val="32"/>
          <w:szCs w:val="32"/>
          <w:lang w:val="en-US" w:eastAsia="zh-CN"/>
        </w:rPr>
        <w:t>0</w:t>
      </w:r>
      <w:r>
        <w:rPr>
          <w:rFonts w:hint="eastAsia" w:ascii="仿宋" w:hAnsi="仿宋" w:eastAsia="仿宋" w:cs="仿宋"/>
          <w:color w:val="auto"/>
          <w:sz w:val="32"/>
          <w:szCs w:val="32"/>
        </w:rPr>
        <w:t>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公务接待费</w:t>
      </w:r>
      <w:r>
        <w:rPr>
          <w:rFonts w:hint="default" w:ascii="Times New Roman" w:hAnsi="Times New Roman" w:eastAsia="仿宋" w:cs="Times New Roman"/>
          <w:color w:val="auto"/>
          <w:sz w:val="32"/>
          <w:szCs w:val="32"/>
          <w:lang w:val="en-US" w:eastAsia="zh-CN"/>
        </w:rPr>
        <w:t>0</w:t>
      </w:r>
      <w:r>
        <w:rPr>
          <w:rFonts w:hint="eastAsia" w:ascii="仿宋" w:hAnsi="仿宋" w:eastAsia="仿宋" w:cs="仿宋"/>
          <w:color w:val="auto"/>
          <w:sz w:val="32"/>
          <w:szCs w:val="32"/>
          <w:shd w:val="clear" w:color="auto" w:fill="FFFFFF"/>
        </w:rPr>
        <w:t>万元，与上年预算持平</w:t>
      </w:r>
      <w:r>
        <w:rPr>
          <w:rFonts w:hint="eastAsia" w:ascii="仿宋" w:hAnsi="仿宋" w:eastAsia="仿宋" w:cs="仿宋"/>
          <w:color w:val="auto"/>
          <w:sz w:val="32"/>
          <w:szCs w:val="32"/>
          <w:shd w:val="clear" w:color="auto" w:fill="FFFFFF"/>
          <w:lang w:eastAsia="zh-CN"/>
        </w:rPr>
        <w:t>，计划接待</w:t>
      </w:r>
      <w:r>
        <w:rPr>
          <w:rFonts w:hint="default" w:ascii="Times New Roman" w:hAnsi="Times New Roman" w:eastAsia="仿宋" w:cs="Times New Roman"/>
          <w:color w:val="auto"/>
          <w:sz w:val="32"/>
          <w:szCs w:val="32"/>
          <w:shd w:val="clear" w:color="auto" w:fill="FFFFFF"/>
          <w:lang w:val="en-US" w:eastAsia="zh-CN"/>
        </w:rPr>
        <w:t>0</w:t>
      </w:r>
      <w:r>
        <w:rPr>
          <w:rFonts w:hint="eastAsia" w:ascii="仿宋" w:hAnsi="仿宋" w:eastAsia="仿宋" w:cs="仿宋"/>
          <w:color w:val="auto"/>
          <w:sz w:val="32"/>
          <w:szCs w:val="32"/>
          <w:shd w:val="clear" w:color="auto" w:fill="FFFFFF"/>
          <w:lang w:val="en-US" w:eastAsia="zh-CN"/>
        </w:rPr>
        <w:t>批次</w:t>
      </w:r>
      <w:r>
        <w:rPr>
          <w:rFonts w:hint="default" w:ascii="Times New Roman" w:hAnsi="Times New Roman" w:eastAsia="仿宋" w:cs="Times New Roman"/>
          <w:color w:val="auto"/>
          <w:sz w:val="32"/>
          <w:szCs w:val="32"/>
          <w:shd w:val="clear" w:color="auto" w:fill="FFFFFF"/>
          <w:lang w:val="en-US" w:eastAsia="zh-CN"/>
        </w:rPr>
        <w:t>0</w:t>
      </w:r>
      <w:r>
        <w:rPr>
          <w:rFonts w:hint="eastAsia" w:ascii="仿宋" w:hAnsi="仿宋" w:eastAsia="仿宋" w:cs="仿宋"/>
          <w:color w:val="auto"/>
          <w:sz w:val="32"/>
          <w:szCs w:val="32"/>
          <w:shd w:val="clear" w:color="auto" w:fill="FFFFFF"/>
          <w:lang w:val="en-US" w:eastAsia="zh-CN"/>
        </w:rPr>
        <w:t>人</w:t>
      </w:r>
      <w:r>
        <w:rPr>
          <w:rFonts w:hint="eastAsia" w:ascii="仿宋" w:hAnsi="仿宋" w:eastAsia="仿宋" w:cs="仿宋"/>
          <w:color w:val="auto"/>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lang w:eastAsia="zh-CN"/>
        </w:rPr>
        <w:t>五、</w:t>
      </w:r>
      <w:r>
        <w:rPr>
          <w:rFonts w:hint="eastAsia" w:ascii="黑体" w:hAnsi="黑体" w:eastAsia="黑体" w:cs="黑体"/>
          <w:color w:val="auto"/>
          <w:sz w:val="32"/>
          <w:szCs w:val="32"/>
          <w:shd w:val="clear" w:color="auto" w:fill="FFFFFF"/>
        </w:rPr>
        <w:t>关于</w:t>
      </w:r>
      <w:r>
        <w:rPr>
          <w:rFonts w:hint="eastAsia" w:ascii="黑体" w:hAnsi="黑体" w:eastAsia="黑体" w:cs="黑体"/>
          <w:color w:val="auto"/>
          <w:sz w:val="32"/>
          <w:szCs w:val="32"/>
          <w:lang w:val="en-US" w:eastAsia="zh-CN"/>
        </w:rPr>
        <w:t>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w:t>
      </w:r>
      <w:r>
        <w:rPr>
          <w:rFonts w:hint="eastAsia" w:ascii="黑体" w:hAnsi="黑体" w:eastAsia="黑体" w:cs="黑体"/>
          <w:color w:val="auto"/>
          <w:sz w:val="32"/>
          <w:szCs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三亚市土地整理中心</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年政府性基金预算当年拨款</w:t>
      </w:r>
      <w:r>
        <w:rPr>
          <w:rFonts w:hint="eastAsia" w:ascii="仿宋_GB2312" w:hAnsi="黑体" w:eastAsia="仿宋_GB2312" w:cs="仿宋_GB2312"/>
          <w:color w:val="auto"/>
          <w:sz w:val="32"/>
          <w:szCs w:val="32"/>
          <w:lang w:val="en-US" w:eastAsia="zh-CN"/>
        </w:rPr>
        <w:t>50309.00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50309.00</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eastAsia="zh-CN"/>
        </w:rPr>
        <w:t>原因为</w:t>
      </w:r>
      <w:r>
        <w:rPr>
          <w:rFonts w:hint="eastAsia" w:ascii="仿宋_GB2312" w:hAnsi="黑体" w:eastAsia="仿宋_GB2312"/>
          <w:color w:val="auto"/>
          <w:sz w:val="32"/>
          <w:szCs w:val="32"/>
          <w:lang w:val="en-US" w:eastAsia="zh-CN"/>
        </w:rPr>
        <w:t>2024年支付海南农垦南繁产业集团有限公司红岛队、红卫队、前进队土地开发整理项目新增耕地指标收储经费</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ind w:firstLine="800" w:firstLineChars="250"/>
        <w:rPr>
          <w:rFonts w:ascii="仿宋_GB2312" w:hAnsi="黑体" w:eastAsia="仿宋_GB2312"/>
          <w:color w:val="FF0000"/>
          <w:sz w:val="32"/>
          <w:szCs w:val="32"/>
        </w:rPr>
      </w:pPr>
      <w:r>
        <w:rPr>
          <w:rFonts w:hint="default" w:ascii="Times New Roman" w:hAnsi="Times New Roman" w:cs="Times New Roman"/>
          <w:color w:val="auto"/>
          <w:sz w:val="32"/>
          <w:szCs w:val="32"/>
          <w:lang w:val="en-US" w:eastAsia="zh-CN"/>
        </w:rPr>
        <w:t>城乡社区支出50309.00万元</w:t>
      </w:r>
      <w:r>
        <w:rPr>
          <w:rFonts w:hint="eastAsia" w:ascii="仿宋" w:hAnsi="仿宋" w:eastAsia="仿宋" w:cs="仿宋"/>
          <w:color w:val="auto"/>
          <w:sz w:val="32"/>
          <w:szCs w:val="32"/>
        </w:rPr>
        <w:t>；</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100</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FF0000"/>
          <w:sz w:val="32"/>
          <w:szCs w:val="32"/>
          <w:highlight w:val="none"/>
          <w:lang w:val="en-US" w:eastAsia="zh-CN"/>
        </w:rPr>
      </w:pPr>
      <w:r>
        <w:rPr>
          <w:rFonts w:hint="eastAsia" w:ascii="仿宋" w:hAnsi="仿宋" w:eastAsia="仿宋" w:cs="仿宋"/>
          <w:color w:val="auto"/>
          <w:sz w:val="32"/>
          <w:szCs w:val="32"/>
          <w:highlight w:val="none"/>
          <w:lang w:val="en-US" w:eastAsia="zh-CN"/>
        </w:rPr>
        <w:t xml:space="preserve"> 1.</w:t>
      </w:r>
      <w:r>
        <w:rPr>
          <w:rFonts w:hint="eastAsia" w:ascii="仿宋" w:hAnsi="仿宋" w:eastAsia="仿宋" w:cs="仿宋"/>
          <w:color w:val="auto"/>
          <w:sz w:val="32"/>
          <w:szCs w:val="32"/>
          <w:lang w:eastAsia="zh-CN"/>
        </w:rPr>
        <w:t>城乡社区</w:t>
      </w:r>
      <w:r>
        <w:rPr>
          <w:rFonts w:hint="eastAsia" w:ascii="仿宋" w:hAnsi="仿宋" w:eastAsia="仿宋" w:cs="仿宋"/>
          <w:color w:val="auto"/>
          <w:sz w:val="32"/>
          <w:szCs w:val="32"/>
        </w:rPr>
        <w:t>支出（类）国有土地使用权出让收入安排的支出（款）其他国有土地使用权出让收入安排的支出（项）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24509.36</w:t>
      </w:r>
      <w:r>
        <w:rPr>
          <w:rFonts w:hint="eastAsia" w:ascii="仿宋" w:hAnsi="仿宋" w:eastAsia="仿宋" w:cs="仿宋"/>
          <w:color w:val="auto"/>
          <w:sz w:val="32"/>
          <w:szCs w:val="32"/>
        </w:rPr>
        <w:t>万元，比上年预算数增加</w:t>
      </w:r>
      <w:r>
        <w:rPr>
          <w:rFonts w:hint="eastAsia" w:ascii="Times New Roman" w:hAnsi="Times New Roman" w:eastAsia="仿宋" w:cs="Times New Roman"/>
          <w:color w:val="auto"/>
          <w:sz w:val="32"/>
          <w:szCs w:val="32"/>
          <w:lang w:val="en-US" w:eastAsia="zh-CN"/>
        </w:rPr>
        <w:t>24509.36</w:t>
      </w:r>
      <w:r>
        <w:rPr>
          <w:rFonts w:hint="eastAsia" w:ascii="仿宋" w:hAnsi="仿宋" w:eastAsia="仿宋" w:cs="仿宋"/>
          <w:color w:val="auto"/>
          <w:sz w:val="32"/>
          <w:szCs w:val="32"/>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原因为</w:t>
      </w:r>
      <w:r>
        <w:rPr>
          <w:rFonts w:hint="eastAsia" w:ascii="仿宋_GB2312" w:hAnsi="黑体" w:eastAsia="仿宋_GB2312"/>
          <w:color w:val="auto"/>
          <w:sz w:val="32"/>
          <w:szCs w:val="32"/>
          <w:lang w:val="en-US" w:eastAsia="zh-CN"/>
        </w:rPr>
        <w:t>2024年支付海南农垦南繁产业集团有限公司红岛队、红卫队、前进队土地开发整理项目新增耕地指标收储经费</w:t>
      </w:r>
      <w:r>
        <w:rPr>
          <w:rFonts w:hint="eastAsia" w:ascii="仿宋_GB2312" w:hAnsi="黑体" w:eastAsia="仿宋_GB2312"/>
          <w:color w:val="auto"/>
          <w:sz w:val="32"/>
          <w:szCs w:val="32"/>
        </w:rPr>
        <w:t>。</w:t>
      </w:r>
      <w:r>
        <w:rPr>
          <w:rFonts w:hint="eastAsia" w:ascii="仿宋" w:hAnsi="仿宋" w:eastAsia="仿宋" w:cs="仿宋"/>
          <w:color w:val="FF0000"/>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FF0000"/>
          <w:sz w:val="32"/>
          <w:szCs w:val="32"/>
          <w:highlight w:val="none"/>
          <w:lang w:eastAsia="zh-CN"/>
        </w:rPr>
      </w:pPr>
      <w:r>
        <w:rPr>
          <w:rFonts w:hint="eastAsia" w:ascii="仿宋" w:hAnsi="仿宋" w:eastAsia="仿宋" w:cs="仿宋"/>
          <w:color w:val="auto"/>
          <w:sz w:val="32"/>
          <w:szCs w:val="32"/>
          <w:highlight w:val="none"/>
          <w:lang w:val="en-US" w:eastAsia="zh-CN"/>
        </w:rPr>
        <w:t xml:space="preserve"> 2.</w:t>
      </w:r>
      <w:r>
        <w:rPr>
          <w:rFonts w:hint="eastAsia" w:ascii="仿宋" w:hAnsi="仿宋" w:eastAsia="仿宋" w:cs="仿宋"/>
          <w:color w:val="auto"/>
          <w:sz w:val="32"/>
          <w:szCs w:val="32"/>
          <w:lang w:eastAsia="zh-CN"/>
        </w:rPr>
        <w:t>城乡社区</w:t>
      </w:r>
      <w:r>
        <w:rPr>
          <w:rFonts w:hint="eastAsia" w:ascii="仿宋" w:hAnsi="仿宋" w:eastAsia="仿宋" w:cs="仿宋"/>
          <w:color w:val="auto"/>
          <w:sz w:val="32"/>
          <w:szCs w:val="32"/>
        </w:rPr>
        <w:t>支出（类）国有土地收益基金安排的支出（款）土地开发支出（项）</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24822.64</w:t>
      </w:r>
      <w:r>
        <w:rPr>
          <w:rFonts w:hint="eastAsia" w:ascii="仿宋" w:hAnsi="仿宋" w:eastAsia="仿宋" w:cs="仿宋"/>
          <w:color w:val="auto"/>
          <w:sz w:val="32"/>
          <w:szCs w:val="32"/>
        </w:rPr>
        <w:t>万元，比上年预算数增加</w:t>
      </w:r>
      <w:r>
        <w:rPr>
          <w:rFonts w:hint="eastAsia" w:ascii="Times New Roman" w:hAnsi="Times New Roman" w:eastAsia="仿宋" w:cs="Times New Roman"/>
          <w:color w:val="auto"/>
          <w:sz w:val="32"/>
          <w:szCs w:val="32"/>
          <w:lang w:val="en-US" w:eastAsia="zh-CN"/>
        </w:rPr>
        <w:t>24822.64</w:t>
      </w:r>
      <w:r>
        <w:rPr>
          <w:rFonts w:hint="eastAsia" w:ascii="仿宋" w:hAnsi="仿宋" w:eastAsia="仿宋" w:cs="仿宋"/>
          <w:color w:val="auto"/>
          <w:sz w:val="32"/>
          <w:szCs w:val="32"/>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原因为</w:t>
      </w:r>
      <w:r>
        <w:rPr>
          <w:rFonts w:hint="default" w:ascii="Times New Roman" w:hAnsi="Times New Roman" w:eastAsia="仿宋_GB2312" w:cs="Times New Roman"/>
          <w:color w:val="auto"/>
          <w:sz w:val="32"/>
          <w:szCs w:val="32"/>
          <w:lang w:val="en-US" w:eastAsia="zh-CN"/>
        </w:rPr>
        <w:t>2024</w:t>
      </w:r>
      <w:r>
        <w:rPr>
          <w:rFonts w:hint="eastAsia" w:ascii="仿宋_GB2312" w:hAnsi="黑体" w:eastAsia="仿宋_GB2312"/>
          <w:color w:val="auto"/>
          <w:sz w:val="32"/>
          <w:szCs w:val="32"/>
          <w:lang w:val="en-US" w:eastAsia="zh-CN"/>
        </w:rPr>
        <w:t>年支付海南农垦南繁产业集团有限公司红岛队、红卫队、前进队土地开发整理项目新增耕地指标收储经费</w:t>
      </w:r>
      <w:r>
        <w:rPr>
          <w:rFonts w:hint="eastAsia" w:ascii="仿宋_GB2312" w:hAnsi="黑体" w:eastAsia="仿宋_GB2312"/>
          <w:color w:val="auto"/>
          <w:sz w:val="32"/>
          <w:szCs w:val="32"/>
        </w:rPr>
        <w:t>。</w:t>
      </w:r>
    </w:p>
    <w:p>
      <w:pPr>
        <w:ind w:firstLine="640" w:firstLineChars="200"/>
        <w:rPr>
          <w:rFonts w:hint="eastAsia" w:ascii="仿宋" w:hAnsi="仿宋" w:eastAsia="仿宋" w:cs="仿宋"/>
          <w:color w:val="FF0000"/>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lang w:eastAsia="zh-CN"/>
        </w:rPr>
        <w:t>城乡社区</w:t>
      </w:r>
      <w:r>
        <w:rPr>
          <w:rFonts w:hint="eastAsia" w:ascii="仿宋" w:hAnsi="仿宋" w:eastAsia="仿宋" w:cs="仿宋"/>
          <w:color w:val="auto"/>
          <w:sz w:val="32"/>
          <w:szCs w:val="32"/>
        </w:rPr>
        <w:t>支出（类）农业土地开发资金安排的支出（款）</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rPr>
        <w:t>年预算数为</w:t>
      </w:r>
      <w:r>
        <w:rPr>
          <w:rFonts w:hint="eastAsia" w:ascii="Times New Roman" w:hAnsi="Times New Roman" w:eastAsia="仿宋" w:cs="Times New Roman"/>
          <w:color w:val="auto"/>
          <w:sz w:val="32"/>
          <w:szCs w:val="32"/>
          <w:lang w:val="en-US" w:eastAsia="zh-CN"/>
        </w:rPr>
        <w:t>977</w:t>
      </w:r>
      <w:r>
        <w:rPr>
          <w:rFonts w:hint="eastAsia" w:ascii="仿宋" w:hAnsi="仿宋" w:eastAsia="仿宋" w:cs="仿宋"/>
          <w:color w:val="auto"/>
          <w:sz w:val="32"/>
          <w:szCs w:val="32"/>
        </w:rPr>
        <w:t>万元，比上年预算数增加</w:t>
      </w:r>
      <w:r>
        <w:rPr>
          <w:rFonts w:hint="eastAsia" w:ascii="Times New Roman" w:hAnsi="Times New Roman" w:eastAsia="仿宋" w:cs="Times New Roman"/>
          <w:color w:val="auto"/>
          <w:sz w:val="32"/>
          <w:szCs w:val="32"/>
          <w:lang w:val="en-US" w:eastAsia="zh-CN"/>
        </w:rPr>
        <w:t>977</w:t>
      </w:r>
      <w:r>
        <w:rPr>
          <w:rFonts w:hint="eastAsia" w:ascii="仿宋" w:hAnsi="仿宋" w:eastAsia="仿宋" w:cs="仿宋"/>
          <w:color w:val="auto"/>
          <w:sz w:val="32"/>
          <w:szCs w:val="32"/>
        </w:rPr>
        <w:t>万元，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原因为</w:t>
      </w:r>
      <w:r>
        <w:rPr>
          <w:rFonts w:hint="eastAsia" w:ascii="仿宋_GB2312" w:hAnsi="黑体" w:eastAsia="仿宋_GB2312"/>
          <w:color w:val="auto"/>
          <w:sz w:val="32"/>
          <w:szCs w:val="32"/>
          <w:lang w:val="en-US" w:eastAsia="zh-CN"/>
        </w:rPr>
        <w:t>2024年支付海南农垦南繁产业集团有限公司红岛队、红卫队、前进队土地开发整理项目新增耕地指标收储经费</w:t>
      </w:r>
      <w:r>
        <w:rPr>
          <w:rFonts w:hint="eastAsia" w:ascii="仿宋_GB2312" w:hAnsi="黑体"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六、关</w:t>
      </w:r>
      <w:r>
        <w:rPr>
          <w:rFonts w:hint="eastAsia" w:ascii="黑体" w:hAnsi="黑体" w:eastAsia="黑体" w:cs="黑体"/>
          <w:color w:val="auto"/>
          <w:sz w:val="32"/>
          <w:szCs w:val="32"/>
        </w:rPr>
        <w:t>于</w:t>
      </w:r>
      <w:r>
        <w:rPr>
          <w:rFonts w:hint="eastAsia" w:ascii="黑体" w:hAnsi="黑体" w:eastAsia="黑体" w:cs="黑体"/>
          <w:color w:val="auto"/>
          <w:sz w:val="32"/>
          <w:szCs w:val="32"/>
          <w:lang w:val="en-US" w:eastAsia="zh-CN"/>
        </w:rPr>
        <w:t>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年收支预算情况的总体说明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按照综合预算原则，</w:t>
      </w:r>
      <w:r>
        <w:rPr>
          <w:rFonts w:hint="eastAsia" w:ascii="仿宋" w:hAnsi="仿宋" w:eastAsia="仿宋" w:cs="仿宋"/>
          <w:color w:val="auto"/>
          <w:sz w:val="32"/>
          <w:szCs w:val="32"/>
          <w:lang w:val="en-US" w:eastAsia="zh-CN"/>
        </w:rPr>
        <w:t>三亚市土地整理中心</w:t>
      </w:r>
      <w:r>
        <w:rPr>
          <w:rFonts w:hint="eastAsia" w:ascii="仿宋" w:hAnsi="仿宋" w:eastAsia="仿宋" w:cs="仿宋"/>
          <w:color w:val="auto"/>
          <w:sz w:val="32"/>
          <w:szCs w:val="32"/>
        </w:rPr>
        <w:t>所有收入和支出均纳入部门预算管理。收入包括：一般公共预算收入</w:t>
      </w:r>
      <w:r>
        <w:rPr>
          <w:rFonts w:hint="eastAsia" w:ascii="仿宋" w:hAnsi="仿宋" w:eastAsia="仿宋" w:cs="仿宋"/>
          <w:color w:val="auto"/>
          <w:sz w:val="32"/>
          <w:szCs w:val="32"/>
          <w:lang w:eastAsia="zh-CN"/>
        </w:rPr>
        <w:t>、 政府性基金预算拨款收入</w:t>
      </w:r>
      <w:r>
        <w:rPr>
          <w:rFonts w:hint="eastAsia" w:ascii="仿宋" w:hAnsi="仿宋" w:eastAsia="仿宋" w:cs="仿宋"/>
          <w:color w:val="auto"/>
          <w:sz w:val="32"/>
          <w:szCs w:val="32"/>
        </w:rPr>
        <w:t>；支出包括：</w:t>
      </w:r>
      <w:r>
        <w:rPr>
          <w:rFonts w:hint="eastAsia" w:ascii="仿宋" w:hAnsi="仿宋" w:eastAsia="仿宋" w:cs="仿宋"/>
          <w:color w:val="auto"/>
          <w:sz w:val="32"/>
          <w:szCs w:val="32"/>
          <w:lang w:eastAsia="zh-CN"/>
        </w:rPr>
        <w:t>社会保障和就业支出、卫生健康支出、城乡社区支出、自然资源海洋气象等支出、住房保障支出</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三亚市土地整理中心</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lang w:val="en-US" w:eastAsia="zh-CN"/>
        </w:rPr>
        <w:t>年</w:t>
      </w:r>
      <w:r>
        <w:rPr>
          <w:rFonts w:hint="eastAsia" w:ascii="仿宋" w:hAnsi="仿宋" w:eastAsia="仿宋" w:cs="仿宋"/>
          <w:color w:val="auto"/>
          <w:sz w:val="32"/>
          <w:szCs w:val="32"/>
        </w:rPr>
        <w:t>收支总预算</w:t>
      </w:r>
      <w:r>
        <w:rPr>
          <w:rFonts w:hint="eastAsia" w:ascii="Times New Roman" w:hAnsi="Times New Roman" w:eastAsia="仿宋" w:cs="Times New Roman"/>
          <w:color w:val="auto"/>
          <w:sz w:val="32"/>
          <w:szCs w:val="32"/>
          <w:lang w:val="en-US" w:eastAsia="zh-CN"/>
        </w:rPr>
        <w:t>50763.92</w:t>
      </w:r>
      <w:r>
        <w:rPr>
          <w:rFonts w:hint="eastAsia" w:ascii="仿宋" w:hAnsi="仿宋" w:eastAsia="仿宋" w:cs="仿宋"/>
          <w:color w:val="auto"/>
          <w:sz w:val="32"/>
          <w:szCs w:val="32"/>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七、关</w:t>
      </w:r>
      <w:r>
        <w:rPr>
          <w:rFonts w:hint="eastAsia" w:ascii="黑体" w:hAnsi="黑体" w:eastAsia="黑体" w:cs="黑体"/>
          <w:color w:val="auto"/>
          <w:sz w:val="32"/>
          <w:szCs w:val="32"/>
        </w:rPr>
        <w:t>于</w:t>
      </w:r>
      <w:r>
        <w:rPr>
          <w:rFonts w:hint="eastAsia" w:ascii="黑体" w:hAnsi="黑体" w:eastAsia="黑体" w:cs="黑体"/>
          <w:color w:val="auto"/>
          <w:sz w:val="32"/>
          <w:szCs w:val="32"/>
          <w:lang w:val="en-US" w:eastAsia="zh-CN"/>
        </w:rPr>
        <w:t>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年收入预算情况说明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FF0000"/>
          <w:sz w:val="32"/>
          <w:szCs w:val="32"/>
          <w:highlight w:val="none"/>
          <w:lang w:val="en-US" w:eastAsia="zh-CN"/>
        </w:rPr>
      </w:pPr>
      <w:r>
        <w:rPr>
          <w:rFonts w:hint="eastAsia" w:ascii="仿宋" w:hAnsi="仿宋" w:eastAsia="仿宋" w:cs="仿宋"/>
          <w:color w:val="auto"/>
          <w:sz w:val="32"/>
          <w:szCs w:val="32"/>
          <w:lang w:val="en-US" w:eastAsia="zh-CN"/>
        </w:rPr>
        <w:t>三亚市土地整理中心</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lang w:val="en-US" w:eastAsia="zh-CN"/>
        </w:rPr>
        <w:t>年</w:t>
      </w:r>
      <w:r>
        <w:rPr>
          <w:rFonts w:hint="eastAsia" w:ascii="仿宋" w:hAnsi="仿宋" w:eastAsia="仿宋" w:cs="仿宋"/>
          <w:color w:val="auto"/>
          <w:sz w:val="32"/>
          <w:szCs w:val="32"/>
        </w:rPr>
        <w:t>收入预算</w:t>
      </w:r>
      <w:r>
        <w:rPr>
          <w:rFonts w:hint="eastAsia" w:ascii="Times New Roman" w:hAnsi="Times New Roman" w:eastAsia="仿宋" w:cs="Times New Roman"/>
          <w:color w:val="auto"/>
          <w:sz w:val="32"/>
          <w:szCs w:val="32"/>
          <w:lang w:val="en-US" w:eastAsia="zh-CN"/>
        </w:rPr>
        <w:t>50763.92</w:t>
      </w:r>
      <w:r>
        <w:rPr>
          <w:rFonts w:hint="eastAsia" w:ascii="仿宋" w:hAnsi="仿宋" w:eastAsia="仿宋" w:cs="仿宋"/>
          <w:color w:val="auto"/>
          <w:sz w:val="32"/>
          <w:szCs w:val="32"/>
        </w:rPr>
        <w:t>万元，其中：</w:t>
      </w:r>
      <w:r>
        <w:rPr>
          <w:rFonts w:hint="eastAsia" w:ascii="仿宋" w:hAnsi="仿宋" w:eastAsia="仿宋" w:cs="仿宋"/>
          <w:color w:val="auto"/>
          <w:sz w:val="32"/>
          <w:szCs w:val="32"/>
          <w:lang w:eastAsia="zh-CN"/>
        </w:rPr>
        <w:t>一般公共预算拨款</w:t>
      </w:r>
      <w:r>
        <w:rPr>
          <w:rFonts w:hint="eastAsia" w:ascii="仿宋" w:hAnsi="仿宋" w:eastAsia="仿宋" w:cs="仿宋"/>
          <w:color w:val="auto"/>
          <w:sz w:val="32"/>
          <w:szCs w:val="32"/>
        </w:rPr>
        <w:t>收入</w:t>
      </w:r>
      <w:r>
        <w:rPr>
          <w:rFonts w:hint="eastAsia" w:ascii="Times New Roman" w:hAnsi="Times New Roman" w:eastAsia="仿宋" w:cs="Times New Roman"/>
          <w:color w:val="auto"/>
          <w:sz w:val="32"/>
          <w:szCs w:val="32"/>
          <w:lang w:val="en-US" w:eastAsia="zh-CN"/>
        </w:rPr>
        <w:t>454.92</w:t>
      </w:r>
      <w:r>
        <w:rPr>
          <w:rFonts w:hint="eastAsia" w:ascii="仿宋" w:hAnsi="仿宋" w:eastAsia="仿宋" w:cs="仿宋"/>
          <w:color w:val="auto"/>
          <w:sz w:val="32"/>
          <w:szCs w:val="32"/>
        </w:rPr>
        <w:t>万元，占</w:t>
      </w:r>
      <w:r>
        <w:rPr>
          <w:rFonts w:hint="eastAsia" w:ascii="Times New Roman" w:hAnsi="Times New Roman" w:eastAsia="仿宋" w:cs="Times New Roman"/>
          <w:color w:val="auto"/>
          <w:sz w:val="32"/>
          <w:szCs w:val="32"/>
          <w:lang w:val="en-US" w:eastAsia="zh-CN"/>
        </w:rPr>
        <w:t>0.9</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50309</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99.1</w:t>
      </w:r>
      <w:r>
        <w:rPr>
          <w:rFonts w:hint="eastAsia" w:ascii="仿宋_GB2312" w:hAnsi="黑体" w:eastAsia="仿宋_GB2312"/>
          <w:color w:val="auto"/>
          <w:sz w:val="32"/>
          <w:szCs w:val="32"/>
        </w:rPr>
        <w:t>%</w:t>
      </w:r>
      <w:r>
        <w:rPr>
          <w:rFonts w:hint="eastAsia" w:ascii="仿宋" w:hAnsi="仿宋" w:eastAsia="仿宋" w:cs="仿宋"/>
          <w:color w:val="auto"/>
          <w:sz w:val="32"/>
          <w:szCs w:val="32"/>
        </w:rPr>
        <w:t>。比上年预算数</w:t>
      </w:r>
      <w:r>
        <w:rPr>
          <w:rFonts w:hint="eastAsia" w:ascii="仿宋" w:hAnsi="仿宋" w:eastAsia="仿宋" w:cs="仿宋"/>
          <w:color w:val="auto"/>
          <w:sz w:val="32"/>
          <w:szCs w:val="32"/>
          <w:lang w:eastAsia="zh-CN"/>
        </w:rPr>
        <w:t>增加</w:t>
      </w:r>
      <w:r>
        <w:rPr>
          <w:rFonts w:hint="eastAsia" w:ascii="Times New Roman" w:hAnsi="Times New Roman" w:eastAsia="仿宋" w:cs="Times New Roman"/>
          <w:color w:val="auto"/>
          <w:sz w:val="32"/>
          <w:szCs w:val="32"/>
          <w:lang w:val="en-US" w:eastAsia="zh-CN"/>
        </w:rPr>
        <w:t>50313.16</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原因为</w:t>
      </w:r>
      <w:r>
        <w:rPr>
          <w:rFonts w:hint="eastAsia" w:ascii="仿宋_GB2312" w:hAnsi="黑体" w:eastAsia="仿宋_GB2312"/>
          <w:color w:val="auto"/>
          <w:sz w:val="32"/>
          <w:szCs w:val="32"/>
          <w:lang w:val="en-US" w:eastAsia="zh-CN"/>
        </w:rPr>
        <w:t>2024年支付海南农垦南繁产业集团有限公司红岛队、红卫队、前进队土地开发整理项目新增耕地指标收储经费</w:t>
      </w:r>
      <w:r>
        <w:rPr>
          <w:rFonts w:hint="eastAsia" w:ascii="仿宋_GB2312" w:hAnsi="黑体" w:eastAsia="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八、关</w:t>
      </w:r>
      <w:r>
        <w:rPr>
          <w:rFonts w:hint="eastAsia" w:ascii="黑体" w:hAnsi="黑体" w:eastAsia="黑体" w:cs="黑体"/>
          <w:color w:val="auto"/>
          <w:sz w:val="32"/>
          <w:szCs w:val="32"/>
        </w:rPr>
        <w:t>于</w:t>
      </w:r>
      <w:r>
        <w:rPr>
          <w:rFonts w:hint="eastAsia" w:ascii="黑体" w:hAnsi="黑体" w:eastAsia="黑体" w:cs="黑体"/>
          <w:color w:val="auto"/>
          <w:sz w:val="32"/>
          <w:szCs w:val="32"/>
          <w:lang w:val="en-US" w:eastAsia="zh-CN"/>
        </w:rPr>
        <w:t>三亚市土地整理中心</w:t>
      </w:r>
      <w:r>
        <w:rPr>
          <w:rFonts w:hint="default" w:ascii="Times New Roman" w:hAnsi="Times New Roman" w:eastAsia="黑体" w:cs="Times New Roman"/>
          <w:color w:val="auto"/>
          <w:sz w:val="32"/>
          <w:szCs w:val="32"/>
          <w:lang w:val="en-US" w:eastAsia="zh-CN"/>
        </w:rPr>
        <w:t>202</w:t>
      </w:r>
      <w:r>
        <w:rPr>
          <w:rFonts w:hint="eastAsia" w:ascii="Times New Roman" w:hAnsi="Times New Roman" w:eastAsia="黑体" w:cs="Times New Roman"/>
          <w:color w:val="auto"/>
          <w:sz w:val="32"/>
          <w:szCs w:val="32"/>
          <w:lang w:val="en-US" w:eastAsia="zh-CN"/>
        </w:rPr>
        <w:t>4</w:t>
      </w:r>
      <w:r>
        <w:rPr>
          <w:rFonts w:hint="eastAsia" w:ascii="黑体" w:hAnsi="黑体" w:eastAsia="黑体" w:cs="黑体"/>
          <w:color w:val="auto"/>
          <w:sz w:val="32"/>
          <w:szCs w:val="32"/>
          <w:lang w:val="en-US" w:eastAsia="zh-CN"/>
        </w:rPr>
        <w:t>年支出预算情况说明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lang w:val="en-US" w:eastAsia="zh-CN"/>
        </w:rPr>
        <w:t>三亚市土地整理中心</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lang w:val="en-US" w:eastAsia="zh-CN"/>
        </w:rPr>
        <w:t>年</w:t>
      </w:r>
      <w:r>
        <w:rPr>
          <w:rFonts w:hint="eastAsia" w:ascii="仿宋" w:hAnsi="仿宋" w:eastAsia="仿宋" w:cs="仿宋"/>
          <w:color w:val="auto"/>
          <w:sz w:val="32"/>
          <w:szCs w:val="32"/>
        </w:rPr>
        <w:t>支出预算</w:t>
      </w:r>
      <w:r>
        <w:rPr>
          <w:rFonts w:hint="eastAsia" w:ascii="Times New Roman" w:hAnsi="Times New Roman" w:eastAsia="仿宋" w:cs="Times New Roman"/>
          <w:color w:val="auto"/>
          <w:sz w:val="32"/>
          <w:szCs w:val="32"/>
          <w:lang w:val="en-US" w:eastAsia="zh-CN"/>
        </w:rPr>
        <w:t>50763.92</w:t>
      </w:r>
      <w:r>
        <w:rPr>
          <w:rFonts w:hint="eastAsia" w:ascii="仿宋" w:hAnsi="仿宋" w:eastAsia="仿宋" w:cs="仿宋"/>
          <w:color w:val="auto"/>
          <w:sz w:val="32"/>
          <w:szCs w:val="32"/>
        </w:rPr>
        <w:t>万元，其中：基本支出</w:t>
      </w:r>
      <w:r>
        <w:rPr>
          <w:rFonts w:hint="eastAsia" w:ascii="Times New Roman" w:hAnsi="Times New Roman" w:eastAsia="仿宋" w:cs="Times New Roman"/>
          <w:color w:val="auto"/>
          <w:sz w:val="32"/>
          <w:szCs w:val="32"/>
          <w:lang w:val="en-US" w:eastAsia="zh-CN"/>
        </w:rPr>
        <w:t>197.92</w:t>
      </w:r>
      <w:r>
        <w:rPr>
          <w:rFonts w:hint="eastAsia" w:ascii="仿宋" w:hAnsi="仿宋" w:eastAsia="仿宋" w:cs="仿宋"/>
          <w:color w:val="auto"/>
          <w:sz w:val="32"/>
          <w:szCs w:val="32"/>
        </w:rPr>
        <w:t>万元，占</w:t>
      </w:r>
      <w:r>
        <w:rPr>
          <w:rFonts w:hint="eastAsia" w:ascii="Times New Roman" w:hAnsi="Times New Roman" w:eastAsia="仿宋" w:cs="Times New Roman"/>
          <w:color w:val="auto"/>
          <w:sz w:val="32"/>
          <w:szCs w:val="32"/>
          <w:lang w:val="en-US" w:eastAsia="zh-CN"/>
        </w:rPr>
        <w:t>0.39</w:t>
      </w:r>
      <w:r>
        <w:rPr>
          <w:rFonts w:hint="eastAsia" w:ascii="仿宋" w:hAnsi="仿宋" w:eastAsia="仿宋" w:cs="仿宋"/>
          <w:color w:val="auto"/>
          <w:sz w:val="32"/>
          <w:szCs w:val="32"/>
        </w:rPr>
        <w:t>%；项目支出</w:t>
      </w:r>
      <w:r>
        <w:rPr>
          <w:rFonts w:hint="eastAsia" w:ascii="Times New Roman" w:hAnsi="Times New Roman" w:eastAsia="仿宋" w:cs="Times New Roman"/>
          <w:color w:val="auto"/>
          <w:sz w:val="32"/>
          <w:szCs w:val="32"/>
          <w:lang w:val="en-US" w:eastAsia="zh-CN"/>
        </w:rPr>
        <w:t>50566.00</w:t>
      </w:r>
      <w:r>
        <w:rPr>
          <w:rFonts w:hint="eastAsia" w:ascii="仿宋" w:hAnsi="仿宋" w:eastAsia="仿宋" w:cs="仿宋"/>
          <w:color w:val="auto"/>
          <w:sz w:val="32"/>
          <w:szCs w:val="32"/>
        </w:rPr>
        <w:t>万元，占</w:t>
      </w:r>
      <w:r>
        <w:rPr>
          <w:rFonts w:hint="eastAsia" w:ascii="Times New Roman" w:hAnsi="Times New Roman" w:eastAsia="仿宋" w:cs="Times New Roman"/>
          <w:color w:val="auto"/>
          <w:sz w:val="32"/>
          <w:szCs w:val="32"/>
          <w:lang w:val="en-US" w:eastAsia="zh-CN"/>
        </w:rPr>
        <w:t>99.61</w:t>
      </w:r>
      <w:r>
        <w:rPr>
          <w:rFonts w:hint="eastAsia" w:ascii="仿宋" w:hAnsi="仿宋" w:eastAsia="仿宋" w:cs="仿宋"/>
          <w:color w:val="auto"/>
          <w:sz w:val="32"/>
          <w:szCs w:val="32"/>
        </w:rPr>
        <w:t>%。比上年预算数</w:t>
      </w:r>
      <w:r>
        <w:rPr>
          <w:rFonts w:hint="eastAsia" w:ascii="仿宋" w:hAnsi="仿宋" w:eastAsia="仿宋" w:cs="仿宋"/>
          <w:color w:val="auto"/>
          <w:sz w:val="32"/>
          <w:szCs w:val="32"/>
          <w:lang w:eastAsia="zh-CN"/>
        </w:rPr>
        <w:t>增加</w:t>
      </w:r>
      <w:r>
        <w:rPr>
          <w:rFonts w:hint="eastAsia" w:ascii="Times New Roman" w:hAnsi="Times New Roman" w:eastAsia="仿宋" w:cs="Times New Roman"/>
          <w:color w:val="auto"/>
          <w:sz w:val="32"/>
          <w:szCs w:val="32"/>
          <w:lang w:val="en-US" w:eastAsia="zh-CN"/>
        </w:rPr>
        <w:t>50313.16</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eastAsia="zh-CN"/>
        </w:rPr>
        <w:t>原因为</w:t>
      </w:r>
      <w:r>
        <w:rPr>
          <w:rFonts w:hint="eastAsia" w:ascii="仿宋_GB2312" w:hAnsi="黑体" w:eastAsia="仿宋_GB2312"/>
          <w:color w:val="auto"/>
          <w:sz w:val="32"/>
          <w:szCs w:val="32"/>
          <w:lang w:val="en-US" w:eastAsia="zh-CN"/>
        </w:rPr>
        <w:t>2024年支付海南农垦南繁产业集团有限公司红岛队、红卫队、前进队土地开发整理项目新增耕地指标收储经费</w:t>
      </w:r>
      <w:r>
        <w:rPr>
          <w:rFonts w:hint="eastAsia" w:ascii="仿宋_GB2312" w:hAnsi="黑体" w:eastAsia="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left="630" w:leftChars="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九、其他重要事项的情况说明</w:t>
      </w:r>
    </w:p>
    <w:p>
      <w:pPr>
        <w:keepNext w:val="0"/>
        <w:keepLines w:val="0"/>
        <w:pageBreakBefore w:val="0"/>
        <w:widowControl w:val="0"/>
        <w:numPr>
          <w:ilvl w:val="0"/>
          <w:numId w:val="5"/>
        </w:numPr>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政府采购情况</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 w:hAnsi="仿宋" w:eastAsia="仿宋" w:cs="仿宋"/>
          <w:color w:val="FF0000"/>
          <w:sz w:val="32"/>
          <w:szCs w:val="32"/>
        </w:rPr>
      </w:pPr>
      <w:r>
        <w:rPr>
          <w:rFonts w:hint="eastAsia" w:ascii="仿宋" w:hAnsi="仿宋" w:eastAsia="仿宋" w:cs="仿宋"/>
          <w:color w:val="auto"/>
          <w:sz w:val="32"/>
          <w:szCs w:val="32"/>
          <w:lang w:val="en-US" w:eastAsia="zh-CN"/>
        </w:rPr>
        <w:t>三亚市土地整理中心无政府采购。</w:t>
      </w:r>
    </w:p>
    <w:p>
      <w:pPr>
        <w:keepNext w:val="0"/>
        <w:keepLines w:val="0"/>
        <w:pageBreakBefore w:val="0"/>
        <w:widowControl w:val="0"/>
        <w:numPr>
          <w:ilvl w:val="0"/>
          <w:numId w:val="5"/>
        </w:numPr>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rPr>
      </w:pPr>
      <w:r>
        <w:rPr>
          <w:rFonts w:hint="eastAsia" w:ascii="楷体" w:hAnsi="楷体" w:eastAsia="楷体" w:cs="楷体"/>
          <w:color w:val="auto"/>
          <w:sz w:val="32"/>
          <w:szCs w:val="32"/>
        </w:rPr>
        <w:t>国有资产占有使用情况</w:t>
      </w:r>
    </w:p>
    <w:p>
      <w:pPr>
        <w:ind w:firstLine="640" w:firstLineChars="200"/>
        <w:rPr>
          <w:rFonts w:hint="eastAsia" w:ascii="仿宋" w:hAnsi="仿宋" w:eastAsia="仿宋" w:cs="仿宋"/>
          <w:color w:val="FF0000"/>
          <w:sz w:val="32"/>
          <w:szCs w:val="32"/>
        </w:rPr>
      </w:pPr>
      <w:r>
        <w:rPr>
          <w:rFonts w:hint="eastAsia" w:ascii="仿宋" w:hAnsi="仿宋" w:eastAsia="仿宋" w:cs="仿宋"/>
          <w:color w:val="auto"/>
          <w:sz w:val="32"/>
          <w:szCs w:val="32"/>
        </w:rPr>
        <w:t>截至</w:t>
      </w: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3</w:t>
      </w:r>
      <w:r>
        <w:rPr>
          <w:rFonts w:hint="eastAsia" w:ascii="仿宋" w:hAnsi="仿宋" w:eastAsia="仿宋" w:cs="仿宋"/>
          <w:color w:val="auto"/>
          <w:sz w:val="32"/>
          <w:szCs w:val="32"/>
        </w:rPr>
        <w:t>年</w:t>
      </w:r>
      <w:r>
        <w:rPr>
          <w:rFonts w:hint="default" w:ascii="Times New Roman" w:hAnsi="Times New Roman" w:eastAsia="仿宋" w:cs="Times New Roman"/>
          <w:color w:val="auto"/>
          <w:sz w:val="32"/>
          <w:szCs w:val="32"/>
        </w:rPr>
        <w:t>12</w:t>
      </w:r>
      <w:r>
        <w:rPr>
          <w:rFonts w:hint="eastAsia" w:ascii="仿宋" w:hAnsi="仿宋" w:eastAsia="仿宋" w:cs="仿宋"/>
          <w:color w:val="auto"/>
          <w:sz w:val="32"/>
          <w:szCs w:val="32"/>
        </w:rPr>
        <w:t>月</w:t>
      </w:r>
      <w:r>
        <w:rPr>
          <w:rFonts w:hint="default" w:ascii="Times New Roman" w:hAnsi="Times New Roman" w:eastAsia="仿宋" w:cs="Times New Roman"/>
          <w:color w:val="auto"/>
          <w:sz w:val="32"/>
          <w:szCs w:val="32"/>
        </w:rPr>
        <w:t>31</w:t>
      </w:r>
      <w:r>
        <w:rPr>
          <w:rFonts w:hint="eastAsia" w:ascii="仿宋" w:hAnsi="仿宋" w:eastAsia="仿宋" w:cs="仿宋"/>
          <w:color w:val="auto"/>
          <w:sz w:val="32"/>
          <w:szCs w:val="32"/>
        </w:rPr>
        <w:t>日，</w:t>
      </w:r>
      <w:r>
        <w:rPr>
          <w:rFonts w:hint="eastAsia" w:ascii="仿宋" w:hAnsi="仿宋" w:eastAsia="仿宋" w:cs="仿宋"/>
          <w:color w:val="auto"/>
          <w:sz w:val="32"/>
          <w:szCs w:val="32"/>
          <w:lang w:val="en-US" w:eastAsia="zh-CN"/>
        </w:rPr>
        <w:t>三亚市土地整理中心</w:t>
      </w:r>
      <w:r>
        <w:rPr>
          <w:rFonts w:hint="eastAsia" w:ascii="仿宋" w:hAnsi="仿宋" w:eastAsia="仿宋" w:cs="仿宋"/>
          <w:color w:val="auto"/>
          <w:sz w:val="32"/>
          <w:szCs w:val="32"/>
        </w:rPr>
        <w:t>本级预算单位共有车辆</w:t>
      </w:r>
      <w:r>
        <w:rPr>
          <w:rFonts w:hint="default" w:ascii="Times New Roman" w:hAnsi="Times New Roman" w:eastAsia="仿宋" w:cs="Times New Roman"/>
          <w:color w:val="auto"/>
          <w:sz w:val="32"/>
          <w:szCs w:val="32"/>
          <w:lang w:val="en-US" w:eastAsia="zh-CN"/>
        </w:rPr>
        <w:t>1</w:t>
      </w:r>
      <w:r>
        <w:rPr>
          <w:rFonts w:hint="eastAsia" w:ascii="仿宋" w:hAnsi="仿宋" w:eastAsia="仿宋" w:cs="仿宋"/>
          <w:color w:val="auto"/>
          <w:sz w:val="32"/>
          <w:szCs w:val="32"/>
        </w:rPr>
        <w:t>辆，其中，其他用车</w:t>
      </w:r>
      <w:r>
        <w:rPr>
          <w:rFonts w:hint="default" w:ascii="Times New Roman" w:hAnsi="Times New Roman" w:eastAsia="仿宋" w:cs="Times New Roman"/>
          <w:color w:val="auto"/>
          <w:sz w:val="32"/>
          <w:szCs w:val="32"/>
          <w:lang w:val="en-US" w:eastAsia="zh-CN"/>
        </w:rPr>
        <w:t>1</w:t>
      </w:r>
      <w:r>
        <w:rPr>
          <w:rFonts w:hint="eastAsia" w:ascii="仿宋" w:hAnsi="仿宋" w:eastAsia="仿宋" w:cs="仿宋"/>
          <w:color w:val="auto"/>
          <w:sz w:val="32"/>
          <w:szCs w:val="32"/>
        </w:rPr>
        <w:t>辆。</w:t>
      </w:r>
      <w:r>
        <w:rPr>
          <w:rFonts w:hint="eastAsia" w:ascii="仿宋_GB2312" w:hAnsi="黑体" w:eastAsia="仿宋_GB2312" w:cs="仿宋_GB2312"/>
          <w:sz w:val="32"/>
          <w:szCs w:val="32"/>
        </w:rPr>
        <w:t>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Theme="minorEastAsia" w:hAnsiTheme="minorEastAsia" w:eastAsiaTheme="minorEastAsia" w:cstheme="minorEastAsia"/>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eastAsia="zh-CN"/>
        </w:rPr>
        <w:t>三</w:t>
      </w:r>
      <w:r>
        <w:rPr>
          <w:rFonts w:hint="eastAsia" w:ascii="楷体" w:hAnsi="楷体" w:eastAsia="楷体" w:cs="楷体"/>
          <w:color w:val="auto"/>
          <w:sz w:val="32"/>
          <w:szCs w:val="32"/>
        </w:rPr>
        <w:t>）绩效目标设置情况</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黑体" w:eastAsia="仿宋_GB2312"/>
          <w:color w:val="auto"/>
          <w:sz w:val="32"/>
          <w:szCs w:val="32"/>
        </w:rPr>
      </w:pPr>
      <w:r>
        <w:rPr>
          <w:rFonts w:hint="default" w:ascii="Times New Roman" w:hAnsi="Times New Roman" w:eastAsia="仿宋" w:cs="Times New Roman"/>
          <w:color w:val="auto"/>
          <w:sz w:val="32"/>
          <w:szCs w:val="32"/>
          <w:lang w:val="en-US" w:eastAsia="zh-CN"/>
        </w:rPr>
        <w:t>202</w:t>
      </w:r>
      <w:r>
        <w:rPr>
          <w:rFonts w:hint="eastAsia" w:ascii="Times New Roman" w:hAnsi="Times New Roman" w:eastAsia="仿宋" w:cs="Times New Roman"/>
          <w:color w:val="auto"/>
          <w:sz w:val="32"/>
          <w:szCs w:val="32"/>
          <w:lang w:val="en-US" w:eastAsia="zh-CN"/>
        </w:rPr>
        <w:t>4</w:t>
      </w:r>
      <w:r>
        <w:rPr>
          <w:rFonts w:hint="eastAsia" w:ascii="仿宋" w:hAnsi="仿宋" w:eastAsia="仿宋" w:cs="仿宋"/>
          <w:color w:val="auto"/>
          <w:sz w:val="32"/>
          <w:szCs w:val="32"/>
          <w:lang w:val="en-US" w:eastAsia="zh-CN"/>
        </w:rPr>
        <w:t>年三亚市土地整理中心13个</w:t>
      </w:r>
      <w:r>
        <w:rPr>
          <w:rFonts w:hint="eastAsia" w:ascii="仿宋" w:hAnsi="仿宋" w:eastAsia="仿宋" w:cs="仿宋"/>
          <w:color w:val="auto"/>
          <w:sz w:val="32"/>
          <w:szCs w:val="32"/>
        </w:rPr>
        <w:t>项目实行绩效目标管理，</w:t>
      </w:r>
      <w:r>
        <w:rPr>
          <w:rFonts w:hint="eastAsia" w:ascii="仿宋_GB2312" w:hAnsi="黑体" w:eastAsia="仿宋_GB2312" w:cs="仿宋_GB2312"/>
          <w:color w:val="auto"/>
          <w:sz w:val="32"/>
          <w:szCs w:val="32"/>
        </w:rPr>
        <w:t>涉及一般公共预算</w:t>
      </w:r>
      <w:r>
        <w:rPr>
          <w:rFonts w:hint="eastAsia" w:ascii="仿宋_GB2312" w:hAnsi="黑体" w:eastAsia="仿宋_GB2312" w:cs="仿宋_GB2312"/>
          <w:color w:val="auto"/>
          <w:sz w:val="32"/>
          <w:szCs w:val="32"/>
          <w:lang w:val="en-US" w:eastAsia="zh-CN"/>
        </w:rPr>
        <w:t>454.92</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50309.00</w:t>
      </w:r>
      <w:r>
        <w:rPr>
          <w:rFonts w:hint="eastAsia" w:ascii="仿宋_GB2312" w:hAnsi="黑体" w:eastAsia="仿宋_GB2312"/>
          <w:color w:val="auto"/>
          <w:sz w:val="32"/>
          <w:szCs w:val="32"/>
        </w:rPr>
        <w:t>万元。</w:t>
      </w:r>
    </w:p>
    <w:p>
      <w:pPr>
        <w:ind w:firstLine="640" w:firstLineChars="200"/>
        <w:rPr>
          <w:rFonts w:hint="eastAsia" w:ascii="仿宋_GB2312" w:hAnsi="黑体" w:eastAsia="仿宋_GB2312" w:cs="仿宋_GB2312"/>
          <w:sz w:val="32"/>
          <w:szCs w:val="32"/>
          <w:u w:val="none"/>
        </w:rPr>
      </w:pPr>
      <w:r>
        <w:rPr>
          <w:rFonts w:hint="eastAsia" w:ascii="仿宋_GB2312" w:hAnsi="黑体" w:eastAsia="仿宋_GB2312"/>
          <w:sz w:val="32"/>
          <w:szCs w:val="32"/>
          <w:u w:val="none"/>
          <w:lang w:eastAsia="zh-CN"/>
        </w:rPr>
        <w:t>其中，重点项目预算绩效情况：</w:t>
      </w:r>
      <w:bookmarkStart w:id="0" w:name="_GoBack"/>
      <w:bookmarkEnd w:id="0"/>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rPr>
        <w:t>新增耕地指标收储资金</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50309</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拨付指标收储尾款</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rPr>
        <w:t>保障我市重大建设项目用地</w:t>
      </w:r>
      <w:r>
        <w:rPr>
          <w:rFonts w:hint="eastAsia" w:ascii="仿宋_GB2312" w:hAnsi="黑体" w:eastAsia="仿宋_GB2312" w:cs="仿宋_GB2312"/>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黑体"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黑体" w:eastAsia="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Theme="minorEastAsia" w:hAnsiTheme="minorEastAsia" w:eastAsiaTheme="minorEastAsia" w:cstheme="minorEastAsia"/>
          <w:color w:val="auto"/>
          <w:sz w:val="32"/>
          <w:szCs w:val="32"/>
        </w:rPr>
      </w:pPr>
    </w:p>
    <w:p>
      <w:pPr>
        <w:keepNext w:val="0"/>
        <w:keepLines w:val="0"/>
        <w:pageBreakBefore w:val="0"/>
        <w:widowControl w:val="0"/>
        <w:kinsoku/>
        <w:wordWrap/>
        <w:overflowPunct/>
        <w:topLinePunct w:val="0"/>
        <w:autoSpaceDE/>
        <w:autoSpaceDN/>
        <w:bidi w:val="0"/>
        <w:adjustRightInd/>
        <w:snapToGrid/>
        <w:spacing w:line="572" w:lineRule="exact"/>
        <w:jc w:val="center"/>
        <w:textAlignment w:val="auto"/>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Theme="minorEastAsia" w:hAnsiTheme="minorEastAsia" w:eastAsiaTheme="minorEastAsia" w:cstheme="minorEastAsia"/>
          <w:bCs/>
          <w:color w:val="auto"/>
          <w:kern w:val="0"/>
          <w:sz w:val="32"/>
          <w:szCs w:val="32"/>
          <w:lang w:val="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一、财政拨款收入：指本级财政当年拨付的资金。</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二、事业收入：指事业单位开展专业业务活动及辅助活动取得的收入。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三、经营收入：指事业单位在专业业务活动及其辅助活动之外开展非独立核算经营活动取得的收入。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四、其他收入：指除上述“财政拨款收入”“事业收入”“经营收入”等以外的收入。</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五、年初结转和结余：指以前年度尚未完成、结转到本年按有关规定继续使用的资金。</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 xml:space="preserve">六、基本支出：指行政事业单位用于为保障其机构正常运转、完成日常工作任务而发生的人员支出和公用支出。   </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七、工资福利支出：反映单位开支的在职职工和编制外长期聘用人员的各类劳动报酬，以及为上述人员缴纳的各项社会保险费等。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八、对个人和家庭的补助支出：反映政府用于对个人和家庭的补助支出，包括离休费、退休费、退职（役）费、抚恤金、生活补助、救济费、医疗费补助、助学金、独生子女奖励金、其他等。</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九、商品和服务支出：反映单位购买商品和服务的支出，包括办公费、水费、电费、邮电费、培训费、公务用车运行维护费、差旅费、因公出国（境）费用、公务接待费、工会经费、会议费、福利费、物业管理费、维修（护）费、其他等。</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十、项目支出：指各部门、各单位为完成其特定的工作任务和事业发展目标所发生的支出。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left"/>
        <w:textAlignment w:val="auto"/>
        <w:rPr>
          <w:rFonts w:hint="eastAsia" w:ascii="黑体" w:hAnsi="黑体" w:eastAsia="黑体" w:cs="黑体"/>
          <w:color w:val="FF0000"/>
          <w:sz w:val="52"/>
          <w:szCs w:val="52"/>
          <w:lang w:val="en-US" w:eastAsia="zh-CN"/>
        </w:rPr>
      </w:pPr>
      <w:r>
        <w:rPr>
          <w:rFonts w:hint="eastAsia" w:ascii="黑体" w:hAnsi="黑体" w:eastAsia="黑体" w:cs="黑体"/>
          <w:color w:val="auto"/>
          <w:kern w:val="0"/>
          <w:sz w:val="32"/>
          <w:szCs w:val="32"/>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3107E"/>
    <w:multiLevelType w:val="singleLevel"/>
    <w:tmpl w:val="18C3107E"/>
    <w:lvl w:ilvl="0" w:tentative="0">
      <w:start w:val="1"/>
      <w:numFmt w:val="chineseCounting"/>
      <w:suff w:val="space"/>
      <w:lvlText w:val="第%1部分"/>
      <w:lvlJc w:val="left"/>
      <w:pPr>
        <w:ind w:left="0"/>
      </w:pPr>
      <w:rPr>
        <w:rFonts w:hint="eastAsia" w:ascii="黑体" w:hAnsi="黑体" w:eastAsia="黑体" w:cs="黑体"/>
      </w:rPr>
    </w:lvl>
  </w:abstractNum>
  <w:abstractNum w:abstractNumId="1">
    <w:nsid w:val="1AB11023"/>
    <w:multiLevelType w:val="singleLevel"/>
    <w:tmpl w:val="1AB11023"/>
    <w:lvl w:ilvl="0" w:tentative="0">
      <w:start w:val="1"/>
      <w:numFmt w:val="chineseCounting"/>
      <w:suff w:val="nothing"/>
      <w:lvlText w:val="（%1）"/>
      <w:lvlJc w:val="left"/>
      <w:pPr>
        <w:ind w:left="-10"/>
      </w:pPr>
      <w:rPr>
        <w:rFonts w:hint="eastAsia"/>
      </w:rPr>
    </w:lvl>
  </w:abstractNum>
  <w:abstractNum w:abstractNumId="2">
    <w:nsid w:val="2FE76C49"/>
    <w:multiLevelType w:val="singleLevel"/>
    <w:tmpl w:val="2FE76C49"/>
    <w:lvl w:ilvl="0" w:tentative="0">
      <w:start w:val="1"/>
      <w:numFmt w:val="chineseCounting"/>
      <w:suff w:val="nothing"/>
      <w:lvlText w:val="（%1）"/>
      <w:lvlJc w:val="left"/>
      <w:rPr>
        <w:rFonts w:hint="eastAsia" w:ascii="楷体" w:hAnsi="楷体" w:eastAsia="楷体" w:cs="楷体"/>
      </w:rPr>
    </w:lvl>
  </w:abstractNum>
  <w:abstractNum w:abstractNumId="3">
    <w:nsid w:val="4B064CF9"/>
    <w:multiLevelType w:val="singleLevel"/>
    <w:tmpl w:val="4B064CF9"/>
    <w:lvl w:ilvl="0" w:tentative="0">
      <w:start w:val="1"/>
      <w:numFmt w:val="chineseCounting"/>
      <w:suff w:val="nothing"/>
      <w:lvlText w:val="（%1）"/>
      <w:lvlJc w:val="left"/>
      <w:rPr>
        <w:rFonts w:hint="eastAsia" w:ascii="楷体" w:hAnsi="楷体" w:eastAsia="楷体" w:cs="楷体"/>
      </w:rPr>
    </w:lvl>
  </w:abstractNum>
  <w:abstractNum w:abstractNumId="4">
    <w:nsid w:val="614FAD93"/>
    <w:multiLevelType w:val="singleLevel"/>
    <w:tmpl w:val="614FAD93"/>
    <w:lvl w:ilvl="0" w:tentative="0">
      <w:start w:val="1"/>
      <w:numFmt w:val="chineseCounting"/>
      <w:suff w:val="nothing"/>
      <w:lvlText w:val="%1、"/>
      <w:lvlJc w:val="left"/>
      <w:pPr>
        <w:ind w:left="210"/>
      </w:pPr>
      <w:rPr>
        <w:rFonts w:hint="eastAsia"/>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BD13A9"/>
    <w:rsid w:val="01E8002B"/>
    <w:rsid w:val="042314DC"/>
    <w:rsid w:val="0426385C"/>
    <w:rsid w:val="045E3E70"/>
    <w:rsid w:val="065B60E0"/>
    <w:rsid w:val="06914697"/>
    <w:rsid w:val="077B5485"/>
    <w:rsid w:val="099701D8"/>
    <w:rsid w:val="0B377EDC"/>
    <w:rsid w:val="0BAB4676"/>
    <w:rsid w:val="0CFC0B1A"/>
    <w:rsid w:val="0DA70333"/>
    <w:rsid w:val="11DD3A17"/>
    <w:rsid w:val="124C5A1C"/>
    <w:rsid w:val="13540262"/>
    <w:rsid w:val="13C5578B"/>
    <w:rsid w:val="142B0AE8"/>
    <w:rsid w:val="142D7A34"/>
    <w:rsid w:val="14667471"/>
    <w:rsid w:val="14E33851"/>
    <w:rsid w:val="152F72B8"/>
    <w:rsid w:val="15321897"/>
    <w:rsid w:val="156153AF"/>
    <w:rsid w:val="15760C14"/>
    <w:rsid w:val="188F7277"/>
    <w:rsid w:val="1AA052D4"/>
    <w:rsid w:val="1AED5A77"/>
    <w:rsid w:val="1B017CA0"/>
    <w:rsid w:val="1BB802EC"/>
    <w:rsid w:val="1DCF5290"/>
    <w:rsid w:val="20D94A07"/>
    <w:rsid w:val="21DD055C"/>
    <w:rsid w:val="247F2330"/>
    <w:rsid w:val="289B7A47"/>
    <w:rsid w:val="2A0F78AA"/>
    <w:rsid w:val="2B3D4976"/>
    <w:rsid w:val="2ED63294"/>
    <w:rsid w:val="2FDB6240"/>
    <w:rsid w:val="31717643"/>
    <w:rsid w:val="31AB61A1"/>
    <w:rsid w:val="35ED1B53"/>
    <w:rsid w:val="366253F6"/>
    <w:rsid w:val="3AC1003C"/>
    <w:rsid w:val="3C697353"/>
    <w:rsid w:val="3ED56A55"/>
    <w:rsid w:val="41160C6F"/>
    <w:rsid w:val="42263963"/>
    <w:rsid w:val="429858A6"/>
    <w:rsid w:val="42B31BFE"/>
    <w:rsid w:val="46DE4C11"/>
    <w:rsid w:val="4A3E52D4"/>
    <w:rsid w:val="4AA370E4"/>
    <w:rsid w:val="4AE21EDB"/>
    <w:rsid w:val="4CAF5C8F"/>
    <w:rsid w:val="4D356E79"/>
    <w:rsid w:val="4DBF2F4E"/>
    <w:rsid w:val="4F2B4ABE"/>
    <w:rsid w:val="4F783537"/>
    <w:rsid w:val="4FF013DE"/>
    <w:rsid w:val="53CA4EF7"/>
    <w:rsid w:val="54E21F28"/>
    <w:rsid w:val="57954948"/>
    <w:rsid w:val="59AF65FF"/>
    <w:rsid w:val="5AE57EB2"/>
    <w:rsid w:val="5BA07421"/>
    <w:rsid w:val="5C001A3D"/>
    <w:rsid w:val="5D9612DF"/>
    <w:rsid w:val="5E3A13AE"/>
    <w:rsid w:val="5EA84C1F"/>
    <w:rsid w:val="5EB60EAF"/>
    <w:rsid w:val="5F100656"/>
    <w:rsid w:val="60296638"/>
    <w:rsid w:val="61050FFE"/>
    <w:rsid w:val="65137657"/>
    <w:rsid w:val="68A93700"/>
    <w:rsid w:val="700D7064"/>
    <w:rsid w:val="70351ABD"/>
    <w:rsid w:val="73CE5C63"/>
    <w:rsid w:val="74371D06"/>
    <w:rsid w:val="75464A0A"/>
    <w:rsid w:val="75FE6BBA"/>
    <w:rsid w:val="768A4D0B"/>
    <w:rsid w:val="78714606"/>
    <w:rsid w:val="7882787F"/>
    <w:rsid w:val="78CD4599"/>
    <w:rsid w:val="792B3420"/>
    <w:rsid w:val="79305987"/>
    <w:rsid w:val="7A3E7D3C"/>
    <w:rsid w:val="7C9320BA"/>
    <w:rsid w:val="7CF44434"/>
    <w:rsid w:val="7D3F547E"/>
    <w:rsid w:val="7D6B4794"/>
    <w:rsid w:val="7FCE77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ind w:left="0" w:right="0"/>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卢秋月</cp:lastModifiedBy>
  <cp:lastPrinted>2024-01-29T09:53:00Z</cp:lastPrinted>
  <dcterms:modified xsi:type="dcterms:W3CDTF">2024-02-05T01:21:42Z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