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auto"/>
          <w:sz w:val="44"/>
          <w:szCs w:val="44"/>
          <w:highlight w:val="none"/>
        </w:rPr>
      </w:pPr>
      <w:bookmarkStart w:id="119" w:name="_GoBack"/>
      <w:bookmarkEnd w:id="119"/>
      <w:r>
        <w:rPr>
          <w:rFonts w:hint="eastAsia" w:ascii="黑体" w:hAnsi="ˎ̥" w:eastAsia="黑体"/>
          <w:color w:val="auto"/>
          <w:sz w:val="44"/>
          <w:szCs w:val="44"/>
          <w:highlight w:val="none"/>
          <w:lang w:eastAsia="zh-CN"/>
        </w:rPr>
        <w:t>三亚市土地整理中心</w:t>
      </w:r>
      <w:r>
        <w:rPr>
          <w:rFonts w:hint="eastAsia" w:ascii="黑体" w:hAnsi="ˎ̥" w:eastAsia="黑体"/>
          <w:color w:val="auto"/>
          <w:sz w:val="44"/>
          <w:szCs w:val="44"/>
          <w:highlight w:val="none"/>
          <w:lang w:val="en-US" w:eastAsia="zh-CN"/>
        </w:rPr>
        <w:t xml:space="preserve">                    </w:t>
      </w:r>
      <w:r>
        <w:rPr>
          <w:rFonts w:hint="eastAsia" w:ascii="黑体" w:hAnsi="ˎ̥" w:eastAsia="黑体"/>
          <w:color w:val="auto"/>
          <w:sz w:val="44"/>
          <w:szCs w:val="44"/>
          <w:highlight w:val="none"/>
        </w:rPr>
        <w:t>2022年度部门决算公开</w:t>
      </w:r>
      <w:r>
        <w:rPr>
          <w:rFonts w:ascii="黑体" w:hAnsi="ˎ̥" w:eastAsia="黑体"/>
          <w:color w:val="auto"/>
          <w:sz w:val="44"/>
          <w:szCs w:val="44"/>
          <w:highlight w:val="none"/>
        </w:rPr>
        <w:t>报告</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b/>
          <w:color w:val="auto"/>
          <w:sz w:val="32"/>
          <w:szCs w:val="32"/>
          <w:highlight w:val="none"/>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highlight w:val="none"/>
        </w:rPr>
      </w:pPr>
      <w:bookmarkStart w:id="0" w:name="_Toc11440_WPSOffice_Type2"/>
      <w:r>
        <w:rPr>
          <w:rFonts w:hint="eastAsia" w:ascii="黑体" w:hAnsi="黑体" w:eastAsia="黑体" w:cs="黑体"/>
          <w:color w:val="auto"/>
          <w:sz w:val="44"/>
          <w:szCs w:val="44"/>
          <w:highlight w:val="none"/>
        </w:rPr>
        <w:t>目  录</w:t>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auto"/>
          <w:sz w:val="32"/>
          <w:szCs w:val="32"/>
          <w:highlight w:val="none"/>
        </w:rPr>
      </w:pPr>
      <w:r>
        <w:rPr>
          <w:color w:val="auto"/>
          <w:sz w:val="32"/>
          <w:szCs w:val="32"/>
          <w:highlight w:val="none"/>
        </w:rPr>
        <w:fldChar w:fldCharType="begin"/>
      </w:r>
      <w:r>
        <w:rPr>
          <w:color w:val="auto"/>
          <w:sz w:val="32"/>
          <w:szCs w:val="32"/>
          <w:highlight w:val="none"/>
        </w:rPr>
        <w:instrText xml:space="preserve"> HYPERLINK \l _Toc1704_WPSOffice_Level1 </w:instrText>
      </w:r>
      <w:r>
        <w:rPr>
          <w:color w:val="auto"/>
          <w:sz w:val="32"/>
          <w:szCs w:val="32"/>
          <w:highlight w:val="none"/>
        </w:rPr>
        <w:fldChar w:fldCharType="separate"/>
      </w:r>
      <w:r>
        <w:rPr>
          <w:rFonts w:hint="eastAsia" w:ascii="黑体" w:hAnsi="ˎ̥" w:eastAsia="黑体"/>
          <w:color w:val="auto"/>
          <w:sz w:val="32"/>
          <w:szCs w:val="32"/>
          <w:highlight w:val="none"/>
        </w:rPr>
        <w:t>第一部分 基本情况</w:t>
      </w:r>
      <w:r>
        <w:rPr>
          <w:color w:val="auto"/>
          <w:sz w:val="32"/>
          <w:szCs w:val="32"/>
          <w:highlight w:val="none"/>
        </w:rPr>
        <w:tab/>
      </w:r>
      <w:r>
        <w:rPr>
          <w:rFonts w:hint="eastAsia"/>
          <w:color w:val="auto"/>
          <w:sz w:val="32"/>
          <w:szCs w:val="32"/>
          <w:highlight w:val="none"/>
          <w:lang w:val="en-US" w:eastAsia="zh-CN"/>
        </w:rPr>
        <w:t>2</w:t>
      </w:r>
      <w:r>
        <w:rPr>
          <w:color w:val="auto"/>
          <w:sz w:val="32"/>
          <w:szCs w:val="32"/>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_Toc20274_WPSOffice_Level2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一、部门</w:t>
      </w:r>
      <w:r>
        <w:rPr>
          <w:rFonts w:hint="eastAsia" w:ascii="仿宋" w:hAnsi="仿宋" w:eastAsia="仿宋" w:cs="仿宋"/>
          <w:color w:val="auto"/>
          <w:sz w:val="32"/>
          <w:szCs w:val="32"/>
          <w:highlight w:val="none"/>
          <w:lang w:eastAsia="zh-CN"/>
        </w:rPr>
        <w:t>（单位）</w:t>
      </w:r>
      <w:r>
        <w:rPr>
          <w:rFonts w:hint="eastAsia" w:ascii="仿宋" w:hAnsi="仿宋" w:eastAsia="仿宋" w:cs="仿宋"/>
          <w:color w:val="auto"/>
          <w:sz w:val="32"/>
          <w:szCs w:val="32"/>
          <w:highlight w:val="none"/>
        </w:rPr>
        <w:t>职责</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_Toc4833_WPSOffice_Level2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二、机构设置</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auto"/>
          <w:sz w:val="32"/>
          <w:szCs w:val="32"/>
          <w:highlight w:val="none"/>
        </w:rPr>
      </w:pPr>
      <w:r>
        <w:rPr>
          <w:color w:val="auto"/>
          <w:sz w:val="32"/>
          <w:szCs w:val="32"/>
          <w:highlight w:val="none"/>
        </w:rPr>
        <w:fldChar w:fldCharType="begin"/>
      </w:r>
      <w:r>
        <w:rPr>
          <w:color w:val="auto"/>
          <w:sz w:val="32"/>
          <w:szCs w:val="32"/>
          <w:highlight w:val="none"/>
        </w:rPr>
        <w:instrText xml:space="preserve"> HYPERLINK \l _Toc28253_WPSOffice_Level1 </w:instrText>
      </w:r>
      <w:r>
        <w:rPr>
          <w:color w:val="auto"/>
          <w:sz w:val="32"/>
          <w:szCs w:val="32"/>
          <w:highlight w:val="none"/>
        </w:rPr>
        <w:fldChar w:fldCharType="separate"/>
      </w:r>
      <w:r>
        <w:rPr>
          <w:rFonts w:hint="eastAsia" w:ascii="黑体" w:hAnsi="ˎ̥" w:eastAsia="黑体"/>
          <w:color w:val="auto"/>
          <w:sz w:val="32"/>
          <w:szCs w:val="32"/>
          <w:highlight w:val="none"/>
        </w:rPr>
        <w:t>第二部分  202</w:t>
      </w:r>
      <w:r>
        <w:rPr>
          <w:rFonts w:ascii="黑体" w:hAnsi="ˎ̥" w:eastAsia="黑体"/>
          <w:color w:val="auto"/>
          <w:sz w:val="32"/>
          <w:szCs w:val="32"/>
          <w:highlight w:val="none"/>
        </w:rPr>
        <w:t>2</w:t>
      </w:r>
      <w:r>
        <w:rPr>
          <w:rFonts w:hint="eastAsia" w:ascii="黑体" w:hAnsi="ˎ̥" w:eastAsia="黑体"/>
          <w:color w:val="auto"/>
          <w:sz w:val="32"/>
          <w:szCs w:val="32"/>
          <w:highlight w:val="none"/>
        </w:rPr>
        <w:t>年度部门决算公开表</w:t>
      </w:r>
      <w:r>
        <w:rPr>
          <w:color w:val="auto"/>
          <w:sz w:val="32"/>
          <w:szCs w:val="32"/>
          <w:highlight w:val="none"/>
        </w:rPr>
        <w:tab/>
      </w:r>
      <w:r>
        <w:rPr>
          <w:rFonts w:hint="eastAsia"/>
          <w:color w:val="auto"/>
          <w:sz w:val="32"/>
          <w:szCs w:val="32"/>
          <w:highlight w:val="none"/>
          <w:lang w:val="en-US" w:eastAsia="zh-CN"/>
        </w:rPr>
        <w:t>2</w:t>
      </w:r>
      <w:r>
        <w:rPr>
          <w:color w:val="auto"/>
          <w:sz w:val="32"/>
          <w:szCs w:val="32"/>
          <w:highlight w:val="none"/>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auto"/>
          <w:sz w:val="32"/>
          <w:szCs w:val="32"/>
          <w:highlight w:val="none"/>
        </w:rPr>
      </w:pPr>
      <w:r>
        <w:rPr>
          <w:color w:val="auto"/>
          <w:sz w:val="32"/>
          <w:szCs w:val="32"/>
          <w:highlight w:val="none"/>
        </w:rPr>
        <w:fldChar w:fldCharType="begin"/>
      </w:r>
      <w:r>
        <w:rPr>
          <w:color w:val="auto"/>
          <w:sz w:val="32"/>
          <w:szCs w:val="32"/>
          <w:highlight w:val="none"/>
        </w:rPr>
        <w:instrText xml:space="preserve"> HYPERLINK \l _Toc27590_WPSOffice_Level1 </w:instrText>
      </w:r>
      <w:r>
        <w:rPr>
          <w:color w:val="auto"/>
          <w:sz w:val="32"/>
          <w:szCs w:val="32"/>
          <w:highlight w:val="none"/>
        </w:rPr>
        <w:fldChar w:fldCharType="separate"/>
      </w:r>
      <w:r>
        <w:rPr>
          <w:rFonts w:hint="eastAsia" w:ascii="黑体" w:hAnsi="黑体" w:eastAsia="黑体" w:cs="黑体"/>
          <w:color w:val="auto"/>
          <w:sz w:val="32"/>
          <w:szCs w:val="32"/>
          <w:highlight w:val="none"/>
        </w:rPr>
        <w:t>第三部分</w:t>
      </w:r>
      <w:r>
        <w:rPr>
          <w:rFonts w:hint="eastAsia"/>
          <w:color w:val="auto"/>
          <w:sz w:val="32"/>
          <w:szCs w:val="32"/>
          <w:highlight w:val="none"/>
        </w:rPr>
        <w:t xml:space="preserve">  </w:t>
      </w:r>
      <w:r>
        <w:rPr>
          <w:rFonts w:hint="eastAsia" w:ascii="黑体" w:hAnsi="ˎ̥" w:eastAsia="黑体"/>
          <w:color w:val="auto"/>
          <w:sz w:val="32"/>
          <w:szCs w:val="32"/>
          <w:highlight w:val="none"/>
        </w:rPr>
        <w:t>2022年度部门决算情况说明</w:t>
      </w:r>
      <w:r>
        <w:rPr>
          <w:color w:val="auto"/>
          <w:sz w:val="32"/>
          <w:szCs w:val="32"/>
          <w:highlight w:val="none"/>
        </w:rPr>
        <w:tab/>
      </w:r>
      <w:r>
        <w:rPr>
          <w:rFonts w:hint="eastAsia"/>
          <w:color w:val="auto"/>
          <w:sz w:val="32"/>
          <w:szCs w:val="32"/>
          <w:highlight w:val="none"/>
          <w:lang w:val="en-US" w:eastAsia="zh-CN"/>
        </w:rPr>
        <w:t>3</w:t>
      </w:r>
      <w:r>
        <w:rPr>
          <w:color w:val="auto"/>
          <w:sz w:val="32"/>
          <w:szCs w:val="32"/>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_Toc21737_WPSOffice_Level2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一、收入支出总体情况说明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二、收入决算情况说明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三、支出决算情况说明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四、财政拨款收入支出决算情况说明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五、一般公共预算财政拨款支出决算情况说明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六、一般公共预算财政拨款基本支出决算情况说明</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7</w:t>
      </w:r>
    </w:p>
    <w:p>
      <w:pPr>
        <w:pStyle w:val="9"/>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auto"/>
          <w:sz w:val="32"/>
          <w:szCs w:val="32"/>
          <w:highlight w:val="none"/>
        </w:rPr>
      </w:pPr>
      <w:r>
        <w:rPr>
          <w:rFonts w:hint="eastAsia" w:ascii="仿宋" w:hAnsi="仿宋" w:eastAsia="仿宋" w:cs="仿宋"/>
          <w:bCs/>
          <w:color w:val="auto"/>
          <w:sz w:val="32"/>
          <w:szCs w:val="32"/>
          <w:highlight w:val="none"/>
        </w:rPr>
        <w:t>政府性基金预算财政拨款支出决算情况说明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7</w:t>
      </w:r>
    </w:p>
    <w:p>
      <w:pPr>
        <w:pStyle w:val="9"/>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auto"/>
          <w:sz w:val="32"/>
          <w:szCs w:val="32"/>
          <w:highlight w:val="none"/>
        </w:rPr>
      </w:pPr>
      <w:r>
        <w:rPr>
          <w:rFonts w:hint="eastAsia" w:ascii="仿宋" w:hAnsi="仿宋" w:eastAsia="仿宋" w:cs="仿宋"/>
          <w:bCs/>
          <w:color w:val="auto"/>
          <w:sz w:val="32"/>
          <w:szCs w:val="32"/>
          <w:highlight w:val="none"/>
        </w:rPr>
        <w:t>国有资本经营预算财政拨款支出决算情况说明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8</w:t>
      </w:r>
    </w:p>
    <w:p>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九、财政拨款“三公”经费支出决算情况说明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lang w:val="en-US" w:eastAsia="zh-CN"/>
        </w:rPr>
        <w:t>9</w:t>
      </w:r>
      <w:r>
        <w:rPr>
          <w:rFonts w:hint="eastAsia" w:ascii="仿宋" w:hAnsi="仿宋" w:eastAsia="仿宋" w:cs="仿宋"/>
          <w:color w:val="auto"/>
          <w:sz w:val="32"/>
          <w:szCs w:val="32"/>
          <w:highlight w:val="none"/>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_Toc19535_WPSOffice_Level2 </w:instrText>
      </w:r>
      <w:r>
        <w:rPr>
          <w:rFonts w:hint="eastAsia" w:ascii="仿宋" w:hAnsi="仿宋" w:eastAsia="仿宋" w:cs="仿宋"/>
          <w:color w:val="auto"/>
          <w:sz w:val="32"/>
          <w:szCs w:val="32"/>
          <w:highlight w:val="none"/>
        </w:rPr>
        <w:fldChar w:fldCharType="separate"/>
      </w:r>
      <w:r>
        <w:rPr>
          <w:rFonts w:hint="eastAsia" w:ascii="仿宋" w:hAnsi="仿宋" w:eastAsia="仿宋" w:cs="仿宋"/>
          <w:bCs/>
          <w:color w:val="auto"/>
          <w:sz w:val="32"/>
          <w:szCs w:val="32"/>
          <w:highlight w:val="none"/>
        </w:rPr>
        <w:t>十、预算绩效情况说明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0</w:t>
      </w:r>
    </w:p>
    <w:p>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Cs/>
          <w:color w:val="auto"/>
          <w:sz w:val="32"/>
          <w:szCs w:val="32"/>
          <w:highlight w:val="none"/>
        </w:rPr>
        <w:t>十一、其他重要事项情况说明</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1</w:t>
      </w:r>
      <w:r>
        <w:rPr>
          <w:rFonts w:hint="eastAsia" w:ascii="仿宋" w:hAnsi="仿宋" w:eastAsia="仿宋" w:cs="仿宋"/>
          <w:color w:val="auto"/>
          <w:sz w:val="32"/>
          <w:szCs w:val="32"/>
          <w:highlight w:val="none"/>
          <w:lang w:val="en-US" w:eastAsia="zh-CN"/>
        </w:rPr>
        <w:t>3</w:t>
      </w:r>
    </w:p>
    <w:p>
      <w:pPr>
        <w:pStyle w:val="8"/>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黑体" w:hAnsi="ˎ̥" w:eastAsia="宋体"/>
          <w:b/>
          <w:color w:val="auto"/>
          <w:sz w:val="32"/>
          <w:szCs w:val="32"/>
          <w:highlight w:val="none"/>
          <w:lang w:val="en-US" w:eastAsia="zh-CN"/>
        </w:rPr>
      </w:pPr>
      <w:r>
        <w:rPr>
          <w:color w:val="auto"/>
          <w:sz w:val="32"/>
          <w:szCs w:val="32"/>
          <w:highlight w:val="none"/>
        </w:rPr>
        <w:fldChar w:fldCharType="begin"/>
      </w:r>
      <w:r>
        <w:rPr>
          <w:color w:val="auto"/>
          <w:sz w:val="32"/>
          <w:szCs w:val="32"/>
          <w:highlight w:val="none"/>
        </w:rPr>
        <w:instrText xml:space="preserve"> HYPERLINK \l _Toc15425_WPSOffice_Level1 </w:instrText>
      </w:r>
      <w:r>
        <w:rPr>
          <w:color w:val="auto"/>
          <w:sz w:val="32"/>
          <w:szCs w:val="32"/>
          <w:highlight w:val="none"/>
        </w:rPr>
        <w:fldChar w:fldCharType="separate"/>
      </w:r>
      <w:r>
        <w:rPr>
          <w:rFonts w:hint="eastAsia" w:ascii="黑体" w:hAnsi="ˎ̥" w:eastAsia="黑体"/>
          <w:color w:val="auto"/>
          <w:sz w:val="32"/>
          <w:szCs w:val="32"/>
          <w:highlight w:val="none"/>
        </w:rPr>
        <w:t>第四部分  名词解释</w:t>
      </w:r>
      <w:r>
        <w:rPr>
          <w:color w:val="auto"/>
          <w:sz w:val="32"/>
          <w:szCs w:val="32"/>
          <w:highlight w:val="none"/>
        </w:rPr>
        <w:tab/>
      </w:r>
      <w:bookmarkStart w:id="1" w:name="_Toc15425_WPSOffice_Level1Page"/>
      <w:r>
        <w:rPr>
          <w:color w:val="auto"/>
          <w:sz w:val="32"/>
          <w:szCs w:val="32"/>
          <w:highlight w:val="none"/>
        </w:rPr>
        <w:t>1</w:t>
      </w:r>
      <w:bookmarkEnd w:id="1"/>
      <w:r>
        <w:rPr>
          <w:color w:val="auto"/>
          <w:sz w:val="32"/>
          <w:szCs w:val="32"/>
          <w:highlight w:val="none"/>
        </w:rPr>
        <w:fldChar w:fldCharType="end"/>
      </w:r>
      <w:bookmarkEnd w:id="0"/>
      <w:r>
        <w:rPr>
          <w:rFonts w:hint="eastAsia"/>
          <w:color w:val="auto"/>
          <w:sz w:val="32"/>
          <w:szCs w:val="32"/>
          <w:highlight w:val="none"/>
          <w:lang w:val="en-US" w:eastAsia="zh-CN"/>
        </w:rPr>
        <w:t>4</w:t>
      </w:r>
    </w:p>
    <w:p>
      <w:pPr>
        <w:jc w:val="center"/>
        <w:rPr>
          <w:rFonts w:hint="eastAsia" w:ascii="黑体" w:hAnsi="ˎ̥" w:eastAsia="黑体"/>
          <w:color w:val="FF0000"/>
          <w:sz w:val="32"/>
          <w:szCs w:val="32"/>
          <w:highlight w:val="none"/>
        </w:rPr>
      </w:pPr>
      <w:bookmarkStart w:id="2" w:name="_Toc10049_WPSOffice_Level1"/>
      <w:bookmarkStart w:id="3" w:name="_Toc22941_WPSOffice_Level1"/>
      <w:bookmarkStart w:id="4" w:name="_Toc23465_WPSOffice_Level1"/>
      <w:bookmarkStart w:id="5" w:name="_Toc10720_WPSOffice_Level1"/>
      <w:bookmarkStart w:id="6" w:name="_Toc1704_WPSOffice_Level1"/>
      <w:bookmarkStart w:id="7" w:name="_Toc32433_WPSOffice_Level1"/>
      <w:bookmarkStart w:id="8" w:name="_Toc24238_WPSOffice_Level2"/>
      <w:bookmarkStart w:id="9" w:name="_Toc26580_WPSOffice_Level2"/>
      <w:bookmarkStart w:id="10" w:name="_Toc14159_WPSOffice_Level2"/>
      <w:bookmarkStart w:id="11" w:name="_Toc20274_WPSOffice_Level2"/>
      <w:bookmarkStart w:id="12" w:name="_Toc32622_WPSOffice_Level2"/>
      <w:bookmarkStart w:id="13" w:name="_Toc20205_WPSOffice_Level2"/>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auto"/>
          <w:sz w:val="32"/>
          <w:szCs w:val="32"/>
          <w:highlight w:val="none"/>
        </w:rPr>
      </w:pPr>
      <w:r>
        <w:rPr>
          <w:rFonts w:hint="eastAsia" w:ascii="黑体" w:hAnsi="ˎ̥" w:eastAsia="黑体"/>
          <w:color w:val="FF0000"/>
          <w:sz w:val="32"/>
          <w:szCs w:val="32"/>
          <w:highlight w:val="none"/>
        </w:rPr>
        <w:br w:type="page"/>
      </w:r>
      <w:r>
        <w:rPr>
          <w:rFonts w:hint="eastAsia" w:ascii="黑体" w:hAnsi="ˎ̥" w:eastAsia="黑体"/>
          <w:color w:val="auto"/>
          <w:sz w:val="32"/>
          <w:szCs w:val="32"/>
          <w:highlight w:val="none"/>
        </w:rPr>
        <w:t xml:space="preserve">第一部分  </w:t>
      </w:r>
      <w:bookmarkEnd w:id="2"/>
      <w:bookmarkEnd w:id="3"/>
      <w:bookmarkEnd w:id="4"/>
      <w:bookmarkEnd w:id="5"/>
      <w:bookmarkEnd w:id="6"/>
      <w:bookmarkEnd w:id="7"/>
      <w:r>
        <w:rPr>
          <w:rFonts w:hint="eastAsia" w:ascii="黑体" w:hAnsi="ˎ̥" w:eastAsia="黑体"/>
          <w:color w:val="auto"/>
          <w:sz w:val="32"/>
          <w:szCs w:val="32"/>
          <w:highlight w:val="none"/>
        </w:rPr>
        <w:t>基本情况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sz w:val="32"/>
          <w:szCs w:val="32"/>
          <w:highlight w:val="none"/>
        </w:rPr>
      </w:pPr>
    </w:p>
    <w:bookmarkEnd w:id="8"/>
    <w:p>
      <w:pPr>
        <w:keepNext w:val="0"/>
        <w:keepLines w:val="0"/>
        <w:pageBreakBefore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黑体" w:hAnsi="黑体" w:eastAsia="黑体" w:cs="黑体"/>
          <w:color w:val="auto"/>
          <w:sz w:val="32"/>
          <w:szCs w:val="32"/>
          <w:highlight w:val="none"/>
        </w:rPr>
      </w:pPr>
      <w:r>
        <w:rPr>
          <w:rFonts w:hint="eastAsia" w:ascii="黑体" w:hAnsi="ˎ̥" w:eastAsia="黑体"/>
          <w:b w:val="0"/>
          <w:bCs w:val="0"/>
          <w:color w:val="auto"/>
          <w:sz w:val="32"/>
          <w:szCs w:val="32"/>
          <w:lang w:val="en-US" w:eastAsia="zh-CN"/>
        </w:rPr>
        <w:t>一、三亚市土地整理中心</w:t>
      </w:r>
      <w:r>
        <w:rPr>
          <w:rFonts w:hint="eastAsia" w:ascii="黑体" w:hAnsi="黑体" w:eastAsia="黑体" w:cs="黑体"/>
          <w:color w:val="auto"/>
          <w:sz w:val="32"/>
          <w:szCs w:val="32"/>
          <w:highlight w:val="none"/>
        </w:rPr>
        <w:t>职责</w:t>
      </w:r>
      <w:bookmarkEnd w:id="9"/>
      <w:bookmarkEnd w:id="10"/>
      <w:bookmarkEnd w:id="11"/>
      <w:bookmarkEnd w:id="12"/>
      <w:bookmarkEnd w:id="13"/>
    </w:p>
    <w:p>
      <w:pPr>
        <w:keepNext w:val="0"/>
        <w:keepLines w:val="0"/>
        <w:pageBreakBefore w:val="0"/>
        <w:widowControl w:val="0"/>
        <w:kinsoku/>
        <w:wordWrap/>
        <w:overflowPunct/>
        <w:topLinePunct w:val="0"/>
        <w:bidi w:val="0"/>
        <w:snapToGrid/>
        <w:spacing w:line="600" w:lineRule="exact"/>
        <w:ind w:firstLine="640" w:firstLineChars="200"/>
        <w:rPr>
          <w:rFonts w:hint="eastAsia" w:ascii="黑体" w:hAnsi="黑体" w:eastAsia="黑体" w:cs="黑体"/>
          <w:color w:val="auto"/>
          <w:sz w:val="32"/>
          <w:szCs w:val="32"/>
          <w:highlight w:val="none"/>
        </w:rPr>
      </w:pPr>
      <w:r>
        <w:rPr>
          <w:rFonts w:hint="eastAsia" w:ascii="仿宋_GB2312" w:hAnsi="仿宋_GB2312" w:eastAsia="仿宋_GB2312" w:cs="仿宋_GB2312"/>
          <w:b w:val="0"/>
          <w:bCs w:val="0"/>
          <w:color w:val="auto"/>
          <w:sz w:val="32"/>
          <w:szCs w:val="32"/>
          <w:lang w:eastAsia="zh-CN"/>
        </w:rPr>
        <w:t>中心主要承担我市土地开发整理的立项、可行性研究、规划设计和投资预算编制及项目实施和后续管护工作;负责土地开发整理专项资金的使用和管理,承担土地整治项目的监督检查和竣工验收;负责耕地后备资源库和补充耕地储备库建设和日常管理;负责收购由社会机构和农村集体经济组织自行投资开发的用于耕地占补平衡的补充耕地指标;承办上级部门交办的其他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rPr>
      </w:pPr>
      <w:bookmarkStart w:id="14" w:name="_Toc4833_WPSOffice_Level2"/>
      <w:bookmarkStart w:id="15" w:name="_Toc6572_WPSOffice_Level2"/>
      <w:bookmarkStart w:id="16" w:name="_Toc24059_WPSOffice_Level2"/>
      <w:bookmarkStart w:id="17" w:name="_Toc24474_WPSOffice_Level2"/>
      <w:bookmarkStart w:id="18" w:name="_Toc17796_WPSOffice_Level2"/>
      <w:r>
        <w:rPr>
          <w:rFonts w:hint="eastAsia" w:ascii="黑体" w:hAnsi="黑体" w:eastAsia="黑体" w:cs="黑体"/>
          <w:color w:val="auto"/>
          <w:sz w:val="32"/>
          <w:szCs w:val="32"/>
          <w:highlight w:val="none"/>
        </w:rPr>
        <w:t>二、机构设置</w:t>
      </w:r>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eastAsia="仿宋_GB2312"/>
          <w:sz w:val="32"/>
          <w:szCs w:val="32"/>
        </w:rPr>
      </w:pPr>
      <w:bookmarkStart w:id="19" w:name="_Toc8164_WPSOffice_Level1"/>
      <w:bookmarkStart w:id="20" w:name="_Toc15521_WPSOffice_Level1"/>
      <w:bookmarkStart w:id="21" w:name="_Toc30451_WPSOffice_Level1"/>
      <w:bookmarkStart w:id="22" w:name="_Toc30690_WPSOffice_Level1"/>
      <w:bookmarkStart w:id="23" w:name="_Toc28253_WPSOffice_Level1"/>
      <w:bookmarkStart w:id="24" w:name="_Toc6234_WPSOffice_Level1"/>
      <w:bookmarkStart w:id="25" w:name="_Toc6211_WPSOffice_Level2"/>
      <w:bookmarkStart w:id="26" w:name="_Toc11518_WPSOffice_Level2"/>
      <w:bookmarkStart w:id="27" w:name="_Toc8867_WPSOffice_Level2"/>
      <w:bookmarkStart w:id="28" w:name="_Toc32472_WPSOffice_Level2"/>
      <w:bookmarkStart w:id="29" w:name="_Toc32695_WPSOffice_Level2"/>
      <w:bookmarkStart w:id="30" w:name="_Toc4029_WPSOffice_Level2"/>
      <w:r>
        <w:rPr>
          <w:rFonts w:hint="eastAsia" w:ascii="仿宋_GB2312" w:eastAsia="仿宋_GB2312"/>
          <w:sz w:val="32"/>
          <w:szCs w:val="32"/>
        </w:rPr>
        <w:t>三亚市土地整理中心是经市机构编制委员会批准成立的副处级公益一类全额拨款事业单位，隶属三亚市</w:t>
      </w:r>
      <w:r>
        <w:rPr>
          <w:rFonts w:hint="eastAsia" w:ascii="仿宋_GB2312" w:eastAsia="仿宋_GB2312"/>
          <w:sz w:val="32"/>
          <w:szCs w:val="32"/>
          <w:lang w:eastAsia="zh-CN"/>
        </w:rPr>
        <w:t>自然资源和规划</w:t>
      </w:r>
      <w:r>
        <w:rPr>
          <w:rFonts w:hint="eastAsia" w:ascii="仿宋_GB2312" w:eastAsia="仿宋_GB2312"/>
          <w:sz w:val="32"/>
          <w:szCs w:val="32"/>
        </w:rPr>
        <w:t>局，</w:t>
      </w:r>
      <w:r>
        <w:rPr>
          <w:rFonts w:hint="eastAsia" w:ascii="仿宋_GB2312" w:hAnsi="仿宋_GB2312" w:eastAsia="仿宋_GB2312"/>
          <w:sz w:val="32"/>
          <w:szCs w:val="32"/>
        </w:rPr>
        <w:t>设置综合科</w:t>
      </w:r>
      <w:r>
        <w:rPr>
          <w:rFonts w:hint="default" w:ascii="Times New Roman" w:hAnsi="Times New Roman" w:eastAsia="仿宋_GB2312" w:cs="Times New Roman"/>
          <w:sz w:val="32"/>
          <w:szCs w:val="32"/>
        </w:rPr>
        <w:t>1</w:t>
      </w:r>
      <w:r>
        <w:rPr>
          <w:rFonts w:hint="eastAsia" w:ascii="仿宋_GB2312" w:hAnsi="仿宋_GB2312" w:eastAsia="仿宋_GB2312"/>
          <w:sz w:val="32"/>
          <w:szCs w:val="32"/>
        </w:rPr>
        <w:t>个内设科级机构</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eastAsia="仿宋_GB2312"/>
          <w:sz w:val="32"/>
          <w:szCs w:val="32"/>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auto"/>
          <w:sz w:val="32"/>
          <w:szCs w:val="32"/>
          <w:highlight w:val="none"/>
        </w:rPr>
      </w:pPr>
      <w:r>
        <w:rPr>
          <w:rFonts w:hint="eastAsia" w:ascii="黑体" w:hAnsi="ˎ̥" w:eastAsia="黑体"/>
          <w:color w:val="auto"/>
          <w:sz w:val="32"/>
          <w:szCs w:val="32"/>
          <w:highlight w:val="none"/>
        </w:rPr>
        <w:t>第二部分  2022年度部门决算公开报表</w:t>
      </w:r>
      <w:bookmarkEnd w:id="19"/>
      <w:bookmarkEnd w:id="20"/>
      <w:bookmarkEnd w:id="21"/>
      <w:bookmarkEnd w:id="22"/>
      <w:bookmarkEnd w:id="23"/>
      <w:bookmarkEnd w:id="24"/>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auto"/>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一、收入支出决算公开表</w:t>
      </w:r>
      <w:bookmarkEnd w:id="25"/>
      <w:bookmarkEnd w:id="26"/>
      <w:bookmarkEnd w:id="27"/>
      <w:bookmarkEnd w:id="28"/>
      <w:bookmarkEnd w:id="29"/>
      <w:bookmarkEnd w:id="30"/>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auto"/>
          <w:sz w:val="32"/>
          <w:szCs w:val="32"/>
          <w:highlight w:val="none"/>
        </w:rPr>
      </w:pPr>
      <w:bookmarkStart w:id="31" w:name="_Toc26621_WPSOffice_Level2"/>
      <w:bookmarkStart w:id="32" w:name="_Toc28622_WPSOffice_Level2"/>
      <w:bookmarkStart w:id="33" w:name="_Toc14349_WPSOffice_Level2"/>
      <w:bookmarkStart w:id="34" w:name="_Toc25608_WPSOffice_Level2"/>
      <w:bookmarkStart w:id="35" w:name="_Toc23139_WPSOffice_Level2"/>
      <w:bookmarkStart w:id="36" w:name="_Toc30334_WPSOffice_Level2"/>
      <w:r>
        <w:rPr>
          <w:rFonts w:hint="eastAsia" w:ascii="黑体" w:hAnsi="黑体" w:eastAsia="黑体" w:cs="黑体"/>
          <w:color w:val="auto"/>
          <w:sz w:val="32"/>
          <w:szCs w:val="32"/>
          <w:highlight w:val="none"/>
        </w:rPr>
        <w:t>二、收入决算公开表</w:t>
      </w:r>
      <w:bookmarkEnd w:id="31"/>
      <w:bookmarkEnd w:id="32"/>
      <w:bookmarkEnd w:id="33"/>
      <w:bookmarkEnd w:id="34"/>
      <w:bookmarkEnd w:id="35"/>
      <w:bookmarkEnd w:id="36"/>
      <w:bookmarkStart w:id="37" w:name="_Toc17858_WPSOffice_Level2"/>
      <w:bookmarkStart w:id="38" w:name="_Toc5489_WPSOffice_Level2"/>
      <w:bookmarkStart w:id="39" w:name="_Toc17626_WPSOffice_Level2"/>
      <w:bookmarkStart w:id="40" w:name="_Toc3262_WPSOffice_Level2"/>
      <w:bookmarkStart w:id="41" w:name="_Toc13854_WPSOffice_Level2"/>
      <w:bookmarkStart w:id="42" w:name="_Toc14658_WPSOffice_Level2"/>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三、支出决算公开表</w:t>
      </w:r>
      <w:bookmarkEnd w:id="37"/>
      <w:bookmarkEnd w:id="38"/>
      <w:bookmarkEnd w:id="39"/>
      <w:bookmarkEnd w:id="40"/>
      <w:bookmarkEnd w:id="41"/>
      <w:bookmarkEnd w:id="42"/>
      <w:bookmarkStart w:id="43" w:name="_Toc4265_WPSOffice_Level2"/>
      <w:bookmarkStart w:id="44" w:name="_Toc23591_WPSOffice_Level2"/>
      <w:bookmarkStart w:id="45" w:name="_Toc21415_WPSOffice_Level2"/>
      <w:bookmarkStart w:id="46" w:name="_Toc13701_WPSOffice_Level2"/>
      <w:bookmarkStart w:id="47" w:name="_Toc7988_WPSOffice_Level2"/>
      <w:bookmarkStart w:id="48" w:name="_Toc23493_WPSOffice_Level2"/>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四、财政拨款收入支出决算公开表</w:t>
      </w:r>
      <w:bookmarkEnd w:id="43"/>
      <w:bookmarkEnd w:id="44"/>
      <w:bookmarkEnd w:id="45"/>
      <w:bookmarkEnd w:id="46"/>
      <w:bookmarkEnd w:id="47"/>
      <w:bookmarkEnd w:id="48"/>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auto"/>
          <w:sz w:val="32"/>
          <w:szCs w:val="32"/>
          <w:highlight w:val="none"/>
        </w:rPr>
      </w:pPr>
      <w:bookmarkStart w:id="49" w:name="_Toc22783_WPSOffice_Level2"/>
      <w:bookmarkStart w:id="50" w:name="_Toc25166_WPSOffice_Level2"/>
      <w:bookmarkStart w:id="51" w:name="_Toc23829_WPSOffice_Level2"/>
      <w:bookmarkStart w:id="52" w:name="_Toc7879_WPSOffice_Level2"/>
      <w:bookmarkStart w:id="53" w:name="_Toc13516_WPSOffice_Level2"/>
      <w:bookmarkStart w:id="54" w:name="_Toc2158_WPSOffice_Level2"/>
      <w:r>
        <w:rPr>
          <w:rFonts w:hint="eastAsia" w:ascii="黑体" w:hAnsi="黑体" w:eastAsia="黑体" w:cs="黑体"/>
          <w:color w:val="auto"/>
          <w:sz w:val="32"/>
          <w:szCs w:val="32"/>
          <w:highlight w:val="none"/>
        </w:rPr>
        <w:t>五、一般公共预算财政拨款收入支出决算</w:t>
      </w:r>
      <w:bookmarkEnd w:id="49"/>
      <w:bookmarkEnd w:id="50"/>
      <w:bookmarkEnd w:id="51"/>
      <w:bookmarkEnd w:id="52"/>
      <w:r>
        <w:rPr>
          <w:rFonts w:hint="eastAsia" w:ascii="黑体" w:hAnsi="黑体" w:eastAsia="黑体" w:cs="黑体"/>
          <w:color w:val="auto"/>
          <w:sz w:val="32"/>
          <w:szCs w:val="32"/>
          <w:highlight w:val="none"/>
        </w:rPr>
        <w:t>公开表</w:t>
      </w:r>
      <w:bookmarkEnd w:id="53"/>
      <w:bookmarkEnd w:id="54"/>
      <w:bookmarkStart w:id="55" w:name="_Toc17283_WPSOffice_Level2"/>
      <w:bookmarkStart w:id="56" w:name="_Toc8373_WPSOffice_Level2"/>
      <w:bookmarkStart w:id="57" w:name="_Toc17833_WPSOffice_Level2"/>
      <w:bookmarkStart w:id="58" w:name="_Toc2632_WPSOffice_Level2"/>
      <w:bookmarkStart w:id="59" w:name="_Toc25362_WPSOffice_Level2"/>
      <w:bookmarkStart w:id="60" w:name="_Toc5343_WPSOffice_Level2"/>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六、一般公共预算财政拨款基本支出决算</w:t>
      </w:r>
      <w:bookmarkEnd w:id="55"/>
      <w:bookmarkEnd w:id="56"/>
      <w:bookmarkEnd w:id="57"/>
      <w:bookmarkEnd w:id="58"/>
      <w:bookmarkEnd w:id="59"/>
      <w:bookmarkEnd w:id="60"/>
      <w:r>
        <w:rPr>
          <w:rFonts w:hint="eastAsia" w:ascii="黑体" w:hAnsi="黑体" w:eastAsia="黑体" w:cs="黑体"/>
          <w:color w:val="auto"/>
          <w:sz w:val="32"/>
          <w:szCs w:val="32"/>
          <w:highlight w:val="none"/>
        </w:rPr>
        <w:t>公开表</w:t>
      </w:r>
    </w:p>
    <w:p>
      <w:pPr>
        <w:keepNext w:val="0"/>
        <w:keepLines w:val="0"/>
        <w:pageBreakBefore w:val="0"/>
        <w:kinsoku/>
        <w:wordWrap/>
        <w:overflowPunct/>
        <w:topLinePunct w:val="0"/>
        <w:autoSpaceDE/>
        <w:autoSpaceDN/>
        <w:bidi w:val="0"/>
        <w:adjustRightInd/>
        <w:snapToGrid/>
        <w:spacing w:line="560" w:lineRule="exact"/>
        <w:ind w:left="1118" w:leftChars="304" w:hanging="480" w:hangingChars="150"/>
        <w:textAlignment w:val="auto"/>
        <w:rPr>
          <w:rFonts w:hint="eastAsia" w:ascii="黑体" w:hAnsi="黑体" w:eastAsia="黑体" w:cs="黑体"/>
          <w:color w:val="auto"/>
          <w:sz w:val="32"/>
          <w:szCs w:val="32"/>
          <w:highlight w:val="none"/>
        </w:rPr>
      </w:pPr>
      <w:bookmarkStart w:id="61" w:name="_Toc21310_WPSOffice_Level2"/>
      <w:bookmarkStart w:id="62" w:name="_Toc1533_WPSOffice_Level2"/>
      <w:bookmarkStart w:id="63" w:name="_Toc6020_WPSOffice_Level2"/>
      <w:bookmarkStart w:id="64" w:name="_Toc5594_WPSOffice_Level2"/>
      <w:bookmarkStart w:id="65" w:name="_Toc13345_WPSOffice_Level2"/>
      <w:bookmarkStart w:id="66" w:name="_Toc11799_WPSOffice_Level2"/>
      <w:r>
        <w:rPr>
          <w:rFonts w:hint="eastAsia" w:ascii="黑体" w:hAnsi="黑体" w:eastAsia="黑体" w:cs="黑体"/>
          <w:color w:val="auto"/>
          <w:sz w:val="32"/>
          <w:szCs w:val="32"/>
          <w:highlight w:val="none"/>
        </w:rPr>
        <w:t>七、政府性基金预算财政拨款收入支出决算</w:t>
      </w:r>
      <w:bookmarkEnd w:id="61"/>
      <w:bookmarkEnd w:id="62"/>
      <w:bookmarkEnd w:id="63"/>
      <w:bookmarkEnd w:id="64"/>
      <w:bookmarkEnd w:id="65"/>
      <w:bookmarkEnd w:id="66"/>
      <w:r>
        <w:rPr>
          <w:rFonts w:hint="eastAsia" w:ascii="黑体" w:hAnsi="黑体" w:eastAsia="黑体" w:cs="黑体"/>
          <w:color w:val="auto"/>
          <w:sz w:val="32"/>
          <w:szCs w:val="32"/>
          <w:highlight w:val="none"/>
        </w:rPr>
        <w:t>公开表</w:t>
      </w:r>
    </w:p>
    <w:p>
      <w:pPr>
        <w:keepNext w:val="0"/>
        <w:keepLines w:val="0"/>
        <w:pageBreakBefore w:val="0"/>
        <w:kinsoku/>
        <w:wordWrap/>
        <w:overflowPunct/>
        <w:topLinePunct w:val="0"/>
        <w:autoSpaceDE/>
        <w:autoSpaceDN/>
        <w:bidi w:val="0"/>
        <w:adjustRightInd/>
        <w:snapToGrid/>
        <w:spacing w:line="560" w:lineRule="exact"/>
        <w:ind w:left="1118" w:leftChars="304" w:hanging="480" w:hangingChars="15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八、国有资本经营预算财政拨款收入支出决算公开表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color w:val="auto"/>
          <w:sz w:val="32"/>
          <w:szCs w:val="32"/>
          <w:highlight w:val="none"/>
        </w:rPr>
      </w:pPr>
      <w:bookmarkStart w:id="67" w:name="_Toc29886_WPSOffice_Level2"/>
      <w:bookmarkStart w:id="68" w:name="_Toc1820_WPSOffice_Level2"/>
      <w:bookmarkStart w:id="69" w:name="_Toc19961_WPSOffice_Level2"/>
      <w:bookmarkStart w:id="70" w:name="_Toc9377_WPSOffice_Level2"/>
      <w:r>
        <w:rPr>
          <w:rFonts w:hint="eastAsia" w:ascii="黑体" w:hAnsi="黑体" w:eastAsia="黑体" w:cs="黑体"/>
          <w:color w:val="auto"/>
          <w:sz w:val="32"/>
          <w:szCs w:val="32"/>
          <w:highlight w:val="none"/>
        </w:rPr>
        <w:t>九、财政拨款“三公”经费支出决算</w:t>
      </w:r>
      <w:bookmarkEnd w:id="67"/>
      <w:bookmarkEnd w:id="68"/>
      <w:bookmarkEnd w:id="69"/>
      <w:bookmarkEnd w:id="70"/>
      <w:r>
        <w:rPr>
          <w:rFonts w:hint="eastAsia" w:ascii="黑体" w:hAnsi="黑体" w:eastAsia="黑体" w:cs="黑体"/>
          <w:color w:val="auto"/>
          <w:sz w:val="32"/>
          <w:szCs w:val="32"/>
          <w:highlight w:val="none"/>
        </w:rPr>
        <w:t>公开表</w:t>
      </w:r>
    </w:p>
    <w:p>
      <w:pPr>
        <w:keepNext w:val="0"/>
        <w:keepLines w:val="0"/>
        <w:pageBreakBefore w:val="0"/>
        <w:kinsoku/>
        <w:wordWrap/>
        <w:overflowPunct/>
        <w:topLinePunct w:val="0"/>
        <w:autoSpaceDE/>
        <w:autoSpaceDN/>
        <w:bidi w:val="0"/>
        <w:adjustRightInd/>
        <w:snapToGrid/>
        <w:spacing w:line="572" w:lineRule="exact"/>
        <w:ind w:firstLine="614"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w w:val="96"/>
          <w:sz w:val="32"/>
          <w:szCs w:val="32"/>
          <w:highlight w:val="none"/>
        </w:rPr>
        <w:t>以上报表见附件</w:t>
      </w:r>
      <w:r>
        <w:rPr>
          <w:rFonts w:hint="eastAsia" w:ascii="黑体" w:hAnsi="黑体" w:eastAsia="黑体" w:cs="黑体"/>
          <w:color w:val="auto"/>
          <w:w w:val="96"/>
          <w:sz w:val="32"/>
          <w:szCs w:val="32"/>
          <w:highlight w:val="none"/>
          <w:lang w:val="en-US" w:eastAsia="zh-CN"/>
        </w:rPr>
        <w:t>1</w:t>
      </w:r>
      <w:r>
        <w:rPr>
          <w:rFonts w:hint="eastAsia" w:ascii="黑体" w:hAnsi="黑体" w:eastAsia="黑体" w:cs="黑体"/>
          <w:color w:val="auto"/>
          <w:w w:val="96"/>
          <w:sz w:val="32"/>
          <w:szCs w:val="32"/>
          <w:highlight w:val="none"/>
        </w:rPr>
        <w:t xml:space="preserve">。   </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FF0000"/>
          <w:sz w:val="32"/>
          <w:szCs w:val="32"/>
          <w:highlight w:val="none"/>
        </w:rPr>
      </w:pPr>
    </w:p>
    <w:p>
      <w:pPr>
        <w:keepNext w:val="0"/>
        <w:keepLines w:val="0"/>
        <w:pageBreakBefore w:val="0"/>
        <w:kinsoku/>
        <w:wordWrap/>
        <w:overflowPunct/>
        <w:topLinePunct w:val="0"/>
        <w:autoSpaceDE/>
        <w:autoSpaceDN/>
        <w:bidi w:val="0"/>
        <w:adjustRightInd/>
        <w:snapToGrid/>
        <w:spacing w:line="572" w:lineRule="exact"/>
        <w:ind w:firstLine="640" w:firstLineChars="200"/>
        <w:jc w:val="center"/>
        <w:textAlignment w:val="auto"/>
        <w:rPr>
          <w:rFonts w:hint="default" w:ascii="Times New Roman" w:hAnsi="Times New Roman" w:eastAsia="黑体" w:cs="Times New Roman"/>
          <w:color w:val="auto"/>
          <w:sz w:val="32"/>
          <w:szCs w:val="32"/>
          <w:highlight w:val="none"/>
        </w:rPr>
      </w:pPr>
      <w:bookmarkStart w:id="71" w:name="_Toc31264_WPSOffice_Level1"/>
      <w:bookmarkStart w:id="72" w:name="_Toc4402_WPSOffice_Level1"/>
      <w:bookmarkStart w:id="73" w:name="_Toc27590_WPSOffice_Level1"/>
      <w:bookmarkStart w:id="74" w:name="_Toc16686_WPSOffice_Level1"/>
      <w:bookmarkStart w:id="75" w:name="_Toc29683_WPSOffice_Level1"/>
      <w:bookmarkStart w:id="76" w:name="_Toc28629_WPSOffice_Level1"/>
      <w:r>
        <w:rPr>
          <w:rFonts w:hint="default" w:ascii="Times New Roman" w:hAnsi="Times New Roman" w:eastAsia="黑体" w:cs="Times New Roman"/>
          <w:color w:val="auto"/>
          <w:sz w:val="32"/>
          <w:szCs w:val="32"/>
          <w:highlight w:val="none"/>
        </w:rPr>
        <w:t>第三部分  2022年度部门决算情况说明</w:t>
      </w:r>
      <w:bookmarkEnd w:id="71"/>
      <w:bookmarkEnd w:id="72"/>
      <w:bookmarkEnd w:id="73"/>
      <w:bookmarkEnd w:id="74"/>
      <w:bookmarkEnd w:id="75"/>
      <w:bookmarkEnd w:id="76"/>
    </w:p>
    <w:p>
      <w:pPr>
        <w:keepNext w:val="0"/>
        <w:keepLines w:val="0"/>
        <w:pageBreakBefore w:val="0"/>
        <w:kinsoku/>
        <w:wordWrap/>
        <w:overflowPunct/>
        <w:topLinePunct w:val="0"/>
        <w:autoSpaceDE/>
        <w:autoSpaceDN/>
        <w:bidi w:val="0"/>
        <w:adjustRightInd/>
        <w:snapToGrid/>
        <w:spacing w:line="572" w:lineRule="exact"/>
        <w:ind w:firstLine="640" w:firstLineChars="200"/>
        <w:jc w:val="center"/>
        <w:textAlignment w:val="auto"/>
        <w:rPr>
          <w:rFonts w:hint="default" w:ascii="Times New Roman" w:hAnsi="Times New Roman" w:eastAsia="黑体" w:cs="Times New Roman"/>
          <w:color w:val="auto"/>
          <w:sz w:val="32"/>
          <w:szCs w:val="32"/>
          <w:highlight w:val="none"/>
        </w:rPr>
      </w:pP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黑体" w:cs="Times New Roman"/>
          <w:bCs/>
          <w:color w:val="auto"/>
          <w:sz w:val="32"/>
          <w:szCs w:val="32"/>
          <w:highlight w:val="none"/>
        </w:rPr>
        <w:t>一、收入支出总体情况说明</w:t>
      </w:r>
      <w:r>
        <w:rPr>
          <w:rFonts w:hint="default" w:ascii="Times New Roman" w:hAnsi="Times New Roman" w:eastAsia="黑体" w:cs="Times New Roman"/>
          <w:bCs/>
          <w:color w:val="auto"/>
          <w:sz w:val="32"/>
          <w:szCs w:val="32"/>
          <w:highlight w:val="none"/>
        </w:rPr>
        <w:br w:type="textWrapping"/>
      </w:r>
      <w:r>
        <w:rPr>
          <w:rFonts w:hint="default" w:ascii="Times New Roman" w:hAnsi="Times New Roman" w:eastAsia="楷体_GB2312" w:cs="Times New Roman"/>
          <w:color w:val="FF0000"/>
          <w:sz w:val="32"/>
          <w:szCs w:val="32"/>
          <w:highlight w:val="none"/>
        </w:rPr>
        <w:t xml:space="preserve">    </w:t>
      </w:r>
      <w:r>
        <w:rPr>
          <w:rFonts w:hint="default" w:ascii="Times New Roman" w:hAnsi="Times New Roman" w:eastAsia="仿宋_GB2312" w:cs="Times New Roman"/>
          <w:color w:val="auto"/>
          <w:sz w:val="32"/>
          <w:szCs w:val="32"/>
          <w:highlight w:val="none"/>
        </w:rPr>
        <w:t>2022年度收入总计</w:t>
      </w:r>
      <w:r>
        <w:rPr>
          <w:rFonts w:hint="default" w:ascii="Times New Roman" w:hAnsi="Times New Roman" w:eastAsia="仿宋_GB2312" w:cs="Times New Roman"/>
          <w:color w:val="auto"/>
          <w:sz w:val="32"/>
          <w:szCs w:val="32"/>
          <w:highlight w:val="none"/>
          <w:lang w:val="en-US" w:eastAsia="zh-CN"/>
        </w:rPr>
        <w:t>19549.25</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支出总计</w:t>
      </w:r>
      <w:r>
        <w:rPr>
          <w:rFonts w:hint="default" w:ascii="Times New Roman" w:hAnsi="Times New Roman" w:eastAsia="仿宋_GB2312" w:cs="Times New Roman"/>
          <w:color w:val="auto"/>
          <w:sz w:val="32"/>
          <w:szCs w:val="32"/>
          <w:highlight w:val="none"/>
          <w:lang w:val="en-US" w:eastAsia="zh-CN"/>
        </w:rPr>
        <w:t>19549.25</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与2021年度相比</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收入、支出总计各增加</w:t>
      </w:r>
      <w:r>
        <w:rPr>
          <w:rFonts w:hint="default" w:ascii="Times New Roman" w:hAnsi="Times New Roman" w:eastAsia="仿宋_GB2312" w:cs="Times New Roman"/>
          <w:color w:val="auto"/>
          <w:sz w:val="32"/>
          <w:szCs w:val="32"/>
          <w:highlight w:val="none"/>
          <w:lang w:val="en-US" w:eastAsia="zh-CN"/>
        </w:rPr>
        <w:t>5181.56</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增长</w:t>
      </w:r>
      <w:r>
        <w:rPr>
          <w:rFonts w:hint="default" w:ascii="Times New Roman" w:hAnsi="Times New Roman" w:eastAsia="仿宋_GB2312" w:cs="Times New Roman"/>
          <w:color w:val="auto"/>
          <w:sz w:val="32"/>
          <w:szCs w:val="32"/>
          <w:highlight w:val="none"/>
          <w:lang w:val="en-US" w:eastAsia="zh-CN"/>
        </w:rPr>
        <w:t>36.06</w:t>
      </w:r>
      <w:r>
        <w:rPr>
          <w:rFonts w:hint="default" w:ascii="Times New Roman" w:hAnsi="Times New Roman" w:eastAsia="仿宋_GB2312" w:cs="Times New Roman"/>
          <w:color w:val="auto"/>
          <w:sz w:val="32"/>
          <w:szCs w:val="32"/>
          <w:highlight w:val="none"/>
        </w:rPr>
        <w:t>%。主要原因</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一是</w:t>
      </w:r>
      <w:r>
        <w:rPr>
          <w:rFonts w:hint="default" w:ascii="Times New Roman" w:hAnsi="Times New Roman" w:eastAsia="仿宋_GB2312" w:cs="Times New Roman"/>
          <w:color w:val="auto"/>
          <w:sz w:val="32"/>
          <w:szCs w:val="32"/>
          <w:highlight w:val="none"/>
          <w:lang w:eastAsia="zh-CN"/>
        </w:rPr>
        <w:t>支</w:t>
      </w:r>
      <w:r>
        <w:rPr>
          <w:rFonts w:hint="default" w:ascii="Times New Roman" w:hAnsi="Times New Roman" w:eastAsia="仿宋_GB2312" w:cs="Times New Roman"/>
          <w:color w:val="auto"/>
          <w:sz w:val="32"/>
          <w:szCs w:val="32"/>
          <w:highlight w:val="none"/>
        </w:rPr>
        <w:t>付三亚市海棠区风塘村与南田农场旱地改造水田土地整治项目审计后剩余工程款</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二是</w:t>
      </w:r>
      <w:r>
        <w:rPr>
          <w:rFonts w:hint="default" w:ascii="Times New Roman" w:hAnsi="Times New Roman" w:eastAsia="仿宋_GB2312" w:cs="Times New Roman"/>
          <w:color w:val="auto"/>
          <w:sz w:val="32"/>
          <w:szCs w:val="32"/>
          <w:highlight w:val="none"/>
          <w:lang w:eastAsia="zh-CN"/>
        </w:rPr>
        <w:t>支付</w:t>
      </w:r>
      <w:r>
        <w:rPr>
          <w:rFonts w:hint="default" w:ascii="Times New Roman" w:hAnsi="Times New Roman" w:eastAsia="仿宋_GB2312" w:cs="Times New Roman"/>
          <w:color w:val="auto"/>
          <w:sz w:val="32"/>
          <w:szCs w:val="32"/>
          <w:highlight w:val="none"/>
        </w:rPr>
        <w:t>海南农垦南繁产业集团有限公司南雅项目新增耕地指标收储经费。使用非财政拨款结余</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较2021年度决算数增加</w:t>
      </w:r>
      <w:r>
        <w:rPr>
          <w:rFonts w:hint="default" w:ascii="Times New Roman" w:hAnsi="Times New Roman" w:eastAsia="仿宋_GB2312" w:cs="Times New Roman"/>
          <w:color w:val="auto"/>
          <w:sz w:val="32"/>
          <w:szCs w:val="32"/>
          <w:highlight w:val="none"/>
          <w:lang w:val="en-US" w:eastAsia="zh-CN"/>
        </w:rPr>
        <w:t>0万</w:t>
      </w:r>
      <w:r>
        <w:rPr>
          <w:rFonts w:hint="default" w:ascii="Times New Roman" w:hAnsi="Times New Roman" w:eastAsia="仿宋_GB2312" w:cs="Times New Roman"/>
          <w:color w:val="auto"/>
          <w:sz w:val="32"/>
          <w:szCs w:val="32"/>
          <w:highlight w:val="none"/>
        </w:rPr>
        <w:t>元。年初结转结余</w:t>
      </w:r>
      <w:r>
        <w:rPr>
          <w:rFonts w:hint="default" w:ascii="Times New Roman" w:hAnsi="Times New Roman" w:eastAsia="仿宋_GB2312" w:cs="Times New Roman"/>
          <w:color w:val="auto"/>
          <w:sz w:val="32"/>
          <w:szCs w:val="32"/>
          <w:highlight w:val="none"/>
          <w:lang w:val="en-US" w:eastAsia="zh-CN"/>
        </w:rPr>
        <w:t>106.5</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主要是</w:t>
      </w:r>
      <w:r>
        <w:rPr>
          <w:rFonts w:hint="default" w:ascii="Times New Roman" w:hAnsi="Times New Roman" w:eastAsia="仿宋_GB2312" w:cs="Times New Roman"/>
          <w:color w:val="auto"/>
          <w:sz w:val="32"/>
          <w:szCs w:val="32"/>
          <w:highlight w:val="none"/>
          <w:lang w:val="en-US" w:eastAsia="zh-CN"/>
        </w:rPr>
        <w:t>2021年度单位实有资金结转至2022年度形成</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其资金主要来源为耕地开垦费</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较2021年度决算数减少</w:t>
      </w:r>
      <w:r>
        <w:rPr>
          <w:rFonts w:hint="default" w:ascii="Times New Roman" w:hAnsi="Times New Roman" w:eastAsia="仿宋_GB2312" w:cs="Times New Roman"/>
          <w:color w:val="auto"/>
          <w:sz w:val="32"/>
          <w:szCs w:val="32"/>
          <w:highlight w:val="none"/>
          <w:lang w:val="en-US" w:eastAsia="zh-CN"/>
        </w:rPr>
        <w:t>911.38</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下降</w:t>
      </w:r>
      <w:r>
        <w:rPr>
          <w:rFonts w:hint="default" w:ascii="Times New Roman" w:hAnsi="Times New Roman" w:eastAsia="仿宋_GB2312" w:cs="Times New Roman"/>
          <w:color w:val="auto"/>
          <w:sz w:val="32"/>
          <w:szCs w:val="32"/>
          <w:highlight w:val="none"/>
          <w:lang w:val="en-US" w:eastAsia="zh-CN"/>
        </w:rPr>
        <w:t>89.54</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主要原因</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一是根据财政要求上缴单位实有资金（耕地开垦费）</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二是用于支</w:t>
      </w:r>
      <w:r>
        <w:rPr>
          <w:rFonts w:hint="default" w:ascii="Times New Roman" w:hAnsi="Times New Roman" w:eastAsia="仿宋_GB2312" w:cs="Times New Roman"/>
          <w:color w:val="auto"/>
          <w:sz w:val="32"/>
          <w:szCs w:val="32"/>
          <w:highlight w:val="none"/>
        </w:rPr>
        <w:t>付三亚市南滨农场南雅耕地开垦项目</w:t>
      </w:r>
      <w:r>
        <w:rPr>
          <w:rFonts w:hint="default" w:ascii="Times New Roman" w:hAnsi="Times New Roman" w:eastAsia="仿宋_GB2312" w:cs="Times New Roman"/>
          <w:color w:val="auto"/>
          <w:sz w:val="32"/>
          <w:szCs w:val="32"/>
          <w:highlight w:val="none"/>
          <w:lang w:eastAsia="zh-CN"/>
        </w:rPr>
        <w:t>工程尾款及其他费用</w:t>
      </w:r>
      <w:r>
        <w:rPr>
          <w:rFonts w:hint="default" w:ascii="Times New Roman" w:hAnsi="Times New Roman" w:eastAsia="仿宋_GB2312" w:cs="Times New Roman"/>
          <w:color w:val="auto"/>
          <w:sz w:val="32"/>
          <w:szCs w:val="32"/>
          <w:highlight w:val="none"/>
        </w:rPr>
        <w:t>。结余分配</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较2021年度决算数增加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增长</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%。年末结转结余</w:t>
      </w:r>
      <w:r>
        <w:rPr>
          <w:rFonts w:hint="default" w:ascii="Times New Roman" w:hAnsi="Times New Roman" w:eastAsia="仿宋_GB2312" w:cs="Times New Roman"/>
          <w:color w:val="auto"/>
          <w:sz w:val="32"/>
          <w:szCs w:val="32"/>
          <w:highlight w:val="none"/>
          <w:lang w:val="en-US" w:eastAsia="zh-CN"/>
        </w:rPr>
        <w:t>1.47</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主要是</w:t>
      </w:r>
      <w:r>
        <w:rPr>
          <w:rFonts w:hint="default" w:ascii="Times New Roman" w:hAnsi="Times New Roman" w:eastAsia="仿宋_GB2312" w:cs="Times New Roman"/>
          <w:color w:val="auto"/>
          <w:sz w:val="32"/>
          <w:szCs w:val="32"/>
          <w:highlight w:val="none"/>
          <w:lang w:eastAsia="zh-CN"/>
        </w:rPr>
        <w:t>年初结转结余资金用于支付三亚市南滨农场南雅耕地开垦项目工程质量保修金后剩余未使用的资金</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较2021年度决算数减少</w:t>
      </w:r>
      <w:r>
        <w:rPr>
          <w:rFonts w:hint="default" w:ascii="Times New Roman" w:hAnsi="Times New Roman" w:eastAsia="仿宋_GB2312" w:cs="Times New Roman"/>
          <w:color w:val="auto"/>
          <w:sz w:val="32"/>
          <w:szCs w:val="32"/>
          <w:highlight w:val="none"/>
          <w:lang w:val="en-US" w:eastAsia="zh-CN"/>
        </w:rPr>
        <w:t>414.6</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下降</w:t>
      </w:r>
      <w:r>
        <w:rPr>
          <w:rFonts w:hint="default" w:ascii="Times New Roman" w:hAnsi="Times New Roman" w:eastAsia="仿宋_GB2312" w:cs="Times New Roman"/>
          <w:color w:val="auto"/>
          <w:sz w:val="32"/>
          <w:szCs w:val="32"/>
          <w:highlight w:val="none"/>
          <w:lang w:val="en-US" w:eastAsia="zh-CN"/>
        </w:rPr>
        <w:t>99.65</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主要原因</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是</w:t>
      </w:r>
      <w:r>
        <w:rPr>
          <w:rFonts w:hint="default" w:ascii="Times New Roman" w:hAnsi="Times New Roman" w:eastAsia="仿宋_GB2312" w:cs="Times New Roman"/>
          <w:color w:val="auto"/>
          <w:sz w:val="32"/>
          <w:szCs w:val="32"/>
          <w:highlight w:val="none"/>
          <w:lang w:eastAsia="zh-CN"/>
        </w:rPr>
        <w:t>单位实有资金（耕地开垦费）已上缴财政国库</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FF0000"/>
          <w:sz w:val="32"/>
          <w:szCs w:val="32"/>
          <w:highlight w:val="none"/>
        </w:rPr>
      </w:pPr>
      <w:r>
        <w:rPr>
          <w:rFonts w:hint="default" w:ascii="Times New Roman" w:hAnsi="Times New Roman" w:eastAsia="黑体" w:cs="Times New Roman"/>
          <w:bCs/>
          <w:color w:val="auto"/>
          <w:sz w:val="32"/>
          <w:szCs w:val="32"/>
          <w:highlight w:val="none"/>
        </w:rPr>
        <w:t>二、收入决算情况说明</w:t>
      </w:r>
      <w:r>
        <w:rPr>
          <w:rFonts w:hint="default" w:ascii="Times New Roman" w:hAnsi="Times New Roman" w:eastAsia="黑体" w:cs="Times New Roman"/>
          <w:bCs/>
          <w:color w:val="auto"/>
          <w:sz w:val="32"/>
          <w:szCs w:val="32"/>
          <w:highlight w:val="none"/>
        </w:rPr>
        <w:br w:type="textWrapping"/>
      </w:r>
      <w:r>
        <w:rPr>
          <w:rFonts w:hint="default" w:ascii="Times New Roman" w:hAnsi="Times New Roman" w:eastAsia="仿宋_GB2312" w:cs="Times New Roman"/>
          <w:color w:val="auto"/>
          <w:sz w:val="32"/>
          <w:szCs w:val="32"/>
          <w:highlight w:val="none"/>
        </w:rPr>
        <w:t xml:space="preserve">    本年收入合计</w:t>
      </w:r>
      <w:r>
        <w:rPr>
          <w:rFonts w:hint="default" w:ascii="Times New Roman" w:hAnsi="Times New Roman" w:eastAsia="仿宋_GB2312" w:cs="Times New Roman"/>
          <w:color w:val="auto"/>
          <w:sz w:val="32"/>
          <w:szCs w:val="32"/>
          <w:highlight w:val="none"/>
          <w:lang w:val="en-US" w:eastAsia="zh-CN"/>
        </w:rPr>
        <w:t>19442.75</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其中</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财政拨款收入</w:t>
      </w:r>
      <w:r>
        <w:rPr>
          <w:rFonts w:hint="default" w:ascii="Times New Roman" w:hAnsi="Times New Roman" w:eastAsia="仿宋_GB2312" w:cs="Times New Roman"/>
          <w:color w:val="auto"/>
          <w:sz w:val="32"/>
          <w:szCs w:val="32"/>
          <w:highlight w:val="none"/>
          <w:lang w:val="en-US" w:eastAsia="zh-CN"/>
        </w:rPr>
        <w:t>19442.75</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附属单位上缴收入</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其他收入</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三、支出决算情况说明</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本年支出合计</w:t>
      </w:r>
      <w:r>
        <w:rPr>
          <w:rFonts w:hint="default" w:ascii="Times New Roman" w:hAnsi="Times New Roman" w:eastAsia="仿宋_GB2312" w:cs="Times New Roman"/>
          <w:color w:val="auto"/>
          <w:sz w:val="32"/>
          <w:szCs w:val="32"/>
          <w:highlight w:val="none"/>
          <w:lang w:val="en-US" w:eastAsia="zh-CN"/>
        </w:rPr>
        <w:t>19547.78</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其中</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基本支出</w:t>
      </w:r>
      <w:r>
        <w:rPr>
          <w:rFonts w:hint="default" w:ascii="Times New Roman" w:hAnsi="Times New Roman" w:eastAsia="仿宋_GB2312" w:cs="Times New Roman"/>
          <w:color w:val="auto"/>
          <w:sz w:val="32"/>
          <w:szCs w:val="32"/>
          <w:highlight w:val="none"/>
          <w:lang w:val="en-US" w:eastAsia="zh-CN"/>
        </w:rPr>
        <w:t>127.94</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0.65</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项目支出</w:t>
      </w:r>
      <w:r>
        <w:rPr>
          <w:rFonts w:hint="default" w:ascii="Times New Roman" w:hAnsi="Times New Roman" w:eastAsia="仿宋_GB2312" w:cs="Times New Roman"/>
          <w:color w:val="auto"/>
          <w:sz w:val="32"/>
          <w:szCs w:val="32"/>
          <w:highlight w:val="none"/>
          <w:lang w:val="en-US" w:eastAsia="zh-CN"/>
        </w:rPr>
        <w:t>19419.84</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99.35</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上缴上级支出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对附属单位补助支出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四、财政拨款收入支出决算总体情况说明</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2022年度财政拨款收入</w:t>
      </w:r>
      <w:r>
        <w:rPr>
          <w:rFonts w:hint="default" w:ascii="Times New Roman" w:hAnsi="Times New Roman" w:eastAsia="仿宋_GB2312" w:cs="Times New Roman"/>
          <w:color w:val="auto"/>
          <w:sz w:val="32"/>
          <w:szCs w:val="32"/>
          <w:highlight w:val="none"/>
          <w:lang w:val="en-US" w:eastAsia="zh-CN"/>
        </w:rPr>
        <w:t>19442.75</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w:t>
      </w:r>
      <w:r>
        <w:rPr>
          <w:rFonts w:hint="default" w:ascii="Times New Roman" w:hAnsi="Times New Roman" w:eastAsia="仿宋_GB2312" w:cs="Times New Roman"/>
          <w:color w:val="auto"/>
          <w:sz w:val="32"/>
          <w:szCs w:val="32"/>
          <w:highlight w:val="none"/>
          <w:lang w:val="en-US" w:eastAsia="zh-CN"/>
        </w:rPr>
        <w:t>19442.75</w:t>
      </w:r>
      <w:r>
        <w:rPr>
          <w:rFonts w:hint="default" w:ascii="Times New Roman" w:hAnsi="Times New Roman" w:eastAsia="仿宋_GB2312" w:cs="Times New Roman"/>
          <w:color w:val="auto"/>
          <w:sz w:val="32"/>
          <w:szCs w:val="32"/>
          <w:highlight w:val="none"/>
        </w:rPr>
        <w:t>万元。与2021年度相比</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财政拨款收入、支出各增加</w:t>
      </w:r>
      <w:r>
        <w:rPr>
          <w:rFonts w:hint="default" w:ascii="Times New Roman" w:hAnsi="Times New Roman" w:eastAsia="仿宋_GB2312" w:cs="Times New Roman"/>
          <w:color w:val="auto"/>
          <w:sz w:val="32"/>
          <w:szCs w:val="32"/>
          <w:highlight w:val="none"/>
          <w:lang w:val="en-US" w:eastAsia="zh-CN"/>
        </w:rPr>
        <w:t>5851.95</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增长</w:t>
      </w:r>
      <w:r>
        <w:rPr>
          <w:rFonts w:hint="default" w:ascii="Times New Roman" w:hAnsi="Times New Roman" w:eastAsia="仿宋_GB2312" w:cs="Times New Roman"/>
          <w:color w:val="auto"/>
          <w:sz w:val="32"/>
          <w:szCs w:val="32"/>
          <w:highlight w:val="none"/>
          <w:lang w:val="en-US" w:eastAsia="zh-CN"/>
        </w:rPr>
        <w:t>43.06</w:t>
      </w:r>
      <w:r>
        <w:rPr>
          <w:rFonts w:hint="default" w:ascii="Times New Roman" w:hAnsi="Times New Roman" w:eastAsia="仿宋_GB2312" w:cs="Times New Roman"/>
          <w:color w:val="auto"/>
          <w:sz w:val="32"/>
          <w:szCs w:val="32"/>
          <w:highlight w:val="none"/>
        </w:rPr>
        <w:t>%。主要原因</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一是</w:t>
      </w:r>
      <w:r>
        <w:rPr>
          <w:rFonts w:hint="default" w:ascii="Times New Roman" w:hAnsi="Times New Roman" w:eastAsia="仿宋_GB2312" w:cs="Times New Roman"/>
          <w:color w:val="auto"/>
          <w:sz w:val="32"/>
          <w:szCs w:val="32"/>
          <w:highlight w:val="none"/>
          <w:lang w:eastAsia="zh-CN"/>
        </w:rPr>
        <w:t>支</w:t>
      </w:r>
      <w:r>
        <w:rPr>
          <w:rFonts w:hint="default" w:ascii="Times New Roman" w:hAnsi="Times New Roman" w:eastAsia="仿宋_GB2312" w:cs="Times New Roman"/>
          <w:color w:val="auto"/>
          <w:sz w:val="32"/>
          <w:szCs w:val="32"/>
          <w:highlight w:val="none"/>
        </w:rPr>
        <w:t>付三亚市海棠区风塘村与南田农场旱地改造水田土地整治项目审计后剩余工程款</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二是</w:t>
      </w:r>
      <w:r>
        <w:rPr>
          <w:rFonts w:hint="default" w:ascii="Times New Roman" w:hAnsi="Times New Roman" w:eastAsia="仿宋_GB2312" w:cs="Times New Roman"/>
          <w:color w:val="auto"/>
          <w:sz w:val="32"/>
          <w:szCs w:val="32"/>
          <w:highlight w:val="none"/>
          <w:lang w:eastAsia="zh-CN"/>
        </w:rPr>
        <w:t>支付</w:t>
      </w:r>
      <w:r>
        <w:rPr>
          <w:rFonts w:hint="default" w:ascii="Times New Roman" w:hAnsi="Times New Roman" w:eastAsia="仿宋_GB2312" w:cs="Times New Roman"/>
          <w:color w:val="auto"/>
          <w:sz w:val="32"/>
          <w:szCs w:val="32"/>
          <w:highlight w:val="none"/>
        </w:rPr>
        <w:t>海南农垦南繁产业集团有限公司南雅项目新增耕地指标收储经费。</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财政拨款年初结转结余</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较2021年度决算数减少</w:t>
      </w:r>
      <w:r>
        <w:rPr>
          <w:rFonts w:hint="default" w:ascii="Times New Roman" w:hAnsi="Times New Roman" w:eastAsia="仿宋_GB2312" w:cs="Times New Roman"/>
          <w:color w:val="auto"/>
          <w:sz w:val="32"/>
          <w:szCs w:val="32"/>
          <w:highlight w:val="none"/>
          <w:lang w:val="en-US" w:eastAsia="zh-CN"/>
        </w:rPr>
        <w:t>240.99</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下降</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主要原因是</w:t>
      </w:r>
      <w:r>
        <w:rPr>
          <w:rFonts w:hint="default" w:ascii="Times New Roman" w:hAnsi="Times New Roman" w:eastAsia="仿宋_GB2312" w:cs="Times New Roman"/>
          <w:color w:val="auto"/>
          <w:sz w:val="32"/>
          <w:szCs w:val="32"/>
          <w:highlight w:val="none"/>
          <w:lang w:eastAsia="zh-CN"/>
        </w:rPr>
        <w:t>上年度无结余资金</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color w:val="auto"/>
          <w:sz w:val="32"/>
          <w:szCs w:val="32"/>
          <w:highlight w:val="none"/>
        </w:rPr>
        <w:t>财政拨款年末结转结余</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较2021年度年末数增加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增长</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主要原因是</w:t>
      </w:r>
      <w:r>
        <w:rPr>
          <w:rFonts w:hint="default" w:ascii="Times New Roman" w:hAnsi="Times New Roman" w:eastAsia="仿宋_GB2312" w:cs="Times New Roman"/>
          <w:color w:val="auto"/>
          <w:sz w:val="32"/>
          <w:szCs w:val="32"/>
          <w:highlight w:val="none"/>
          <w:lang w:eastAsia="zh-CN"/>
        </w:rPr>
        <w:t>无结余资金</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五、一般公共预算财政拨款支出决算情况说明</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color w:val="auto"/>
          <w:sz w:val="32"/>
          <w:szCs w:val="32"/>
          <w:highlight w:val="none"/>
        </w:rPr>
      </w:pPr>
      <w:bookmarkStart w:id="77" w:name="_Toc13694_WPSOffice_Level2"/>
      <w:bookmarkStart w:id="78" w:name="_Toc17398_WPSOffice_Level2"/>
      <w:bookmarkStart w:id="79" w:name="_Toc19665_WPSOffice_Level2"/>
      <w:bookmarkStart w:id="80" w:name="_Toc9989_WPSOffice_Level2"/>
      <w:bookmarkStart w:id="81" w:name="_Toc23005_WPSOffice_Level2"/>
      <w:bookmarkStart w:id="82" w:name="_Toc21737_WPSOffice_Level2"/>
      <w:r>
        <w:rPr>
          <w:rFonts w:hint="default" w:ascii="Times New Roman" w:hAnsi="Times New Roman" w:eastAsia="楷体" w:cs="Times New Roman"/>
          <w:color w:val="auto"/>
          <w:sz w:val="32"/>
          <w:szCs w:val="32"/>
          <w:highlight w:val="none"/>
        </w:rPr>
        <w:t>（一）一般公共预算财政拨款支出决算总体情况</w:t>
      </w:r>
      <w:bookmarkEnd w:id="77"/>
      <w:bookmarkEnd w:id="78"/>
      <w:r>
        <w:rPr>
          <w:rFonts w:hint="default" w:ascii="Times New Roman" w:hAnsi="Times New Roman" w:eastAsia="楷体" w:cs="Times New Roman"/>
          <w:color w:val="auto"/>
          <w:sz w:val="32"/>
          <w:szCs w:val="32"/>
          <w:highlight w:val="none"/>
        </w:rPr>
        <w:t>。</w:t>
      </w:r>
      <w:bookmarkEnd w:id="79"/>
      <w:bookmarkEnd w:id="80"/>
      <w:bookmarkEnd w:id="81"/>
      <w:bookmarkEnd w:id="82"/>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2022年度一般公共预算财政拨款支出</w:t>
      </w:r>
      <w:r>
        <w:rPr>
          <w:rFonts w:hint="default" w:ascii="Times New Roman" w:hAnsi="Times New Roman" w:eastAsia="仿宋_GB2312" w:cs="Times New Roman"/>
          <w:color w:val="auto"/>
          <w:sz w:val="32"/>
          <w:szCs w:val="32"/>
          <w:highlight w:val="none"/>
          <w:lang w:val="en-US" w:eastAsia="zh-CN"/>
        </w:rPr>
        <w:t>444.69</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占本年支出合计的</w:t>
      </w:r>
      <w:r>
        <w:rPr>
          <w:rFonts w:hint="default" w:ascii="Times New Roman" w:hAnsi="Times New Roman" w:eastAsia="仿宋_GB2312" w:cs="Times New Roman"/>
          <w:color w:val="auto"/>
          <w:sz w:val="32"/>
          <w:szCs w:val="32"/>
          <w:highlight w:val="none"/>
          <w:lang w:val="en-US" w:eastAsia="zh-CN"/>
        </w:rPr>
        <w:t>2.29</w:t>
      </w:r>
      <w:r>
        <w:rPr>
          <w:rFonts w:hint="default" w:ascii="Times New Roman" w:hAnsi="Times New Roman" w:eastAsia="仿宋_GB2312" w:cs="Times New Roman"/>
          <w:color w:val="auto"/>
          <w:sz w:val="32"/>
          <w:szCs w:val="32"/>
          <w:highlight w:val="none"/>
        </w:rPr>
        <w:t>%。与2021年度相比</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一般公共预算财政拨款支出增加</w:t>
      </w:r>
      <w:r>
        <w:rPr>
          <w:rFonts w:hint="default" w:ascii="Times New Roman" w:hAnsi="Times New Roman" w:eastAsia="仿宋_GB2312" w:cs="Times New Roman"/>
          <w:color w:val="auto"/>
          <w:sz w:val="32"/>
          <w:szCs w:val="32"/>
          <w:highlight w:val="none"/>
          <w:lang w:val="en-US" w:eastAsia="zh-CN"/>
        </w:rPr>
        <w:t>71.92</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增长</w:t>
      </w:r>
      <w:r>
        <w:rPr>
          <w:rFonts w:hint="default" w:ascii="Times New Roman" w:hAnsi="Times New Roman" w:eastAsia="仿宋_GB2312" w:cs="Times New Roman"/>
          <w:color w:val="auto"/>
          <w:sz w:val="32"/>
          <w:szCs w:val="32"/>
          <w:highlight w:val="none"/>
          <w:lang w:val="en-US" w:eastAsia="zh-CN"/>
        </w:rPr>
        <w:t>19.29</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主要原因</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是支付三亚市海棠区风塘村与南田农场旱地改造水田土地整治项目审计后剩余工程款及工程其他款。</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color w:val="auto"/>
          <w:sz w:val="32"/>
          <w:szCs w:val="32"/>
          <w:highlight w:val="none"/>
        </w:rPr>
      </w:pPr>
      <w:bookmarkStart w:id="83" w:name="_Toc2711_WPSOffice_Level2"/>
      <w:bookmarkStart w:id="84" w:name="_Toc18793_WPSOffice_Level2"/>
      <w:bookmarkStart w:id="85" w:name="_Toc19075_WPSOffice_Level2"/>
      <w:bookmarkStart w:id="86" w:name="_Toc23864_WPSOffice_Level2"/>
      <w:bookmarkStart w:id="87" w:name="_Toc19535_WPSOffice_Level2"/>
      <w:bookmarkStart w:id="88" w:name="_Toc27767_WPSOffice_Level2"/>
      <w:r>
        <w:rPr>
          <w:rFonts w:hint="default" w:ascii="Times New Roman" w:hAnsi="Times New Roman" w:eastAsia="楷体" w:cs="Times New Roman"/>
          <w:color w:val="auto"/>
          <w:sz w:val="32"/>
          <w:szCs w:val="32"/>
          <w:highlight w:val="none"/>
        </w:rPr>
        <w:t>（二）一般公共预算财政拨款支出决算结构情况</w:t>
      </w:r>
      <w:bookmarkEnd w:id="83"/>
      <w:bookmarkEnd w:id="84"/>
      <w:r>
        <w:rPr>
          <w:rFonts w:hint="default" w:ascii="Times New Roman" w:hAnsi="Times New Roman" w:eastAsia="楷体" w:cs="Times New Roman"/>
          <w:color w:val="auto"/>
          <w:sz w:val="32"/>
          <w:szCs w:val="32"/>
          <w:highlight w:val="none"/>
        </w:rPr>
        <w:t>。</w:t>
      </w:r>
      <w:bookmarkEnd w:id="85"/>
      <w:bookmarkEnd w:id="86"/>
      <w:bookmarkEnd w:id="87"/>
      <w:bookmarkEnd w:id="88"/>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2022年度一般公共预算财政拨款支出</w:t>
      </w:r>
      <w:r>
        <w:rPr>
          <w:rFonts w:hint="default" w:ascii="Times New Roman" w:hAnsi="Times New Roman" w:eastAsia="仿宋_GB2312" w:cs="Times New Roman"/>
          <w:color w:val="auto"/>
          <w:sz w:val="32"/>
          <w:szCs w:val="32"/>
          <w:highlight w:val="none"/>
          <w:lang w:val="en-US" w:eastAsia="zh-CN"/>
        </w:rPr>
        <w:t>444.69</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主要用于以下方面</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社会保障和就业支出（类）支出</w:t>
      </w:r>
      <w:r>
        <w:rPr>
          <w:rFonts w:hint="default" w:ascii="Times New Roman" w:hAnsi="Times New Roman" w:eastAsia="仿宋_GB2312" w:cs="Times New Roman"/>
          <w:color w:val="auto"/>
          <w:sz w:val="32"/>
          <w:szCs w:val="32"/>
          <w:highlight w:val="none"/>
          <w:lang w:val="en-US" w:eastAsia="zh-CN"/>
        </w:rPr>
        <w:t>23.37</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占</w:t>
      </w:r>
      <w:r>
        <w:rPr>
          <w:rFonts w:hint="default" w:ascii="Times New Roman" w:hAnsi="Times New Roman" w:eastAsia="仿宋_GB2312" w:cs="Times New Roman"/>
          <w:color w:val="auto"/>
          <w:sz w:val="32"/>
          <w:szCs w:val="32"/>
          <w:highlight w:val="none"/>
          <w:lang w:val="en-US" w:eastAsia="zh-CN"/>
        </w:rPr>
        <w:t>5.25</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卫生健康支出（类）支出</w:t>
      </w:r>
      <w:r>
        <w:rPr>
          <w:rFonts w:hint="default" w:ascii="Times New Roman" w:hAnsi="Times New Roman" w:eastAsia="仿宋_GB2312" w:cs="Times New Roman"/>
          <w:color w:val="auto"/>
          <w:sz w:val="32"/>
          <w:szCs w:val="32"/>
          <w:highlight w:val="none"/>
          <w:lang w:val="en-US" w:eastAsia="zh-CN"/>
        </w:rPr>
        <w:t>11.62</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2.61</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农林水</w:t>
      </w:r>
      <w:r>
        <w:rPr>
          <w:rFonts w:hint="default" w:ascii="Times New Roman" w:hAnsi="Times New Roman" w:eastAsia="仿宋_GB2312" w:cs="Times New Roman"/>
          <w:color w:val="auto"/>
          <w:sz w:val="32"/>
          <w:szCs w:val="32"/>
          <w:highlight w:val="none"/>
        </w:rPr>
        <w:t>（类）支出</w:t>
      </w:r>
      <w:r>
        <w:rPr>
          <w:rFonts w:hint="default" w:ascii="Times New Roman" w:hAnsi="Times New Roman" w:eastAsia="仿宋_GB2312" w:cs="Times New Roman"/>
          <w:color w:val="auto"/>
          <w:sz w:val="32"/>
          <w:szCs w:val="32"/>
          <w:highlight w:val="none"/>
          <w:lang w:val="en-US" w:eastAsia="zh-CN"/>
        </w:rPr>
        <w:t>123.62</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27.8</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自然资源海洋气象等支出</w:t>
      </w:r>
      <w:r>
        <w:rPr>
          <w:rFonts w:hint="default" w:ascii="Times New Roman" w:hAnsi="Times New Roman" w:eastAsia="仿宋_GB2312" w:cs="Times New Roman"/>
          <w:color w:val="auto"/>
          <w:sz w:val="32"/>
          <w:szCs w:val="32"/>
          <w:highlight w:val="none"/>
          <w:lang w:val="en-US" w:eastAsia="zh-CN"/>
        </w:rPr>
        <w:t>（类）</w:t>
      </w:r>
      <w:r>
        <w:rPr>
          <w:rFonts w:hint="default" w:ascii="Times New Roman" w:hAnsi="Times New Roman" w:eastAsia="仿宋_GB2312" w:cs="Times New Roman"/>
          <w:color w:val="auto"/>
          <w:sz w:val="32"/>
          <w:szCs w:val="32"/>
          <w:highlight w:val="none"/>
        </w:rPr>
        <w:t>支出</w:t>
      </w:r>
      <w:r>
        <w:rPr>
          <w:rFonts w:hint="default" w:ascii="Times New Roman" w:hAnsi="Times New Roman" w:eastAsia="仿宋_GB2312" w:cs="Times New Roman"/>
          <w:color w:val="auto"/>
          <w:sz w:val="32"/>
          <w:szCs w:val="32"/>
          <w:highlight w:val="none"/>
          <w:lang w:val="en-US" w:eastAsia="zh-CN"/>
        </w:rPr>
        <w:t>277.44</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62.4</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住房保障支出</w:t>
      </w:r>
      <w:r>
        <w:rPr>
          <w:rFonts w:hint="default" w:ascii="Times New Roman" w:hAnsi="Times New Roman" w:eastAsia="仿宋_GB2312" w:cs="Times New Roman"/>
          <w:color w:val="auto"/>
          <w:sz w:val="32"/>
          <w:szCs w:val="32"/>
          <w:highlight w:val="none"/>
          <w:lang w:val="en-US" w:eastAsia="zh-CN"/>
        </w:rPr>
        <w:t>（类）</w:t>
      </w:r>
      <w:r>
        <w:rPr>
          <w:rFonts w:hint="default" w:ascii="Times New Roman" w:hAnsi="Times New Roman" w:eastAsia="仿宋_GB2312" w:cs="Times New Roman"/>
          <w:color w:val="auto"/>
          <w:sz w:val="32"/>
          <w:szCs w:val="32"/>
          <w:highlight w:val="none"/>
        </w:rPr>
        <w:t>支出</w:t>
      </w:r>
      <w:r>
        <w:rPr>
          <w:rFonts w:hint="default" w:ascii="Times New Roman" w:hAnsi="Times New Roman" w:eastAsia="仿宋_GB2312" w:cs="Times New Roman"/>
          <w:color w:val="auto"/>
          <w:sz w:val="32"/>
          <w:szCs w:val="32"/>
          <w:highlight w:val="none"/>
          <w:lang w:val="en-US" w:eastAsia="zh-CN"/>
        </w:rPr>
        <w:t>8.64</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1.94</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color w:val="auto"/>
          <w:sz w:val="32"/>
          <w:szCs w:val="32"/>
          <w:highlight w:val="none"/>
        </w:rPr>
      </w:pPr>
      <w:bookmarkStart w:id="89" w:name="_Toc29364_WPSOffice_Level2"/>
      <w:bookmarkStart w:id="90" w:name="_Toc9502_WPSOffice_Level2"/>
      <w:bookmarkStart w:id="91" w:name="_Toc25136_WPSOffice_Level2"/>
      <w:bookmarkStart w:id="92" w:name="_Toc22318_WPSOffice_Level2"/>
      <w:bookmarkStart w:id="93" w:name="_Toc21701_WPSOffice_Level2"/>
      <w:bookmarkStart w:id="94" w:name="_Toc15415_WPSOffice_Level2"/>
      <w:r>
        <w:rPr>
          <w:rFonts w:hint="default" w:ascii="Times New Roman" w:hAnsi="Times New Roman" w:eastAsia="楷体" w:cs="Times New Roman"/>
          <w:color w:val="auto"/>
          <w:sz w:val="32"/>
          <w:szCs w:val="32"/>
          <w:highlight w:val="none"/>
        </w:rPr>
        <w:t>（三）一般公共预算财政拨款支出决算具体情况。</w:t>
      </w:r>
      <w:bookmarkEnd w:id="89"/>
      <w:bookmarkEnd w:id="90"/>
      <w:bookmarkEnd w:id="91"/>
      <w:bookmarkEnd w:id="92"/>
      <w:bookmarkEnd w:id="93"/>
      <w:bookmarkEnd w:id="94"/>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eastAsia" w:ascii="Times New Roman" w:hAnsi="Times New Roman" w:eastAsia="仿宋_GB2312" w:cs="Times New Roman"/>
          <w:color w:val="FF0000"/>
          <w:sz w:val="32"/>
          <w:szCs w:val="32"/>
          <w:highlight w:val="none"/>
          <w:lang w:eastAsia="zh-CN"/>
        </w:rPr>
      </w:pPr>
      <w:r>
        <w:rPr>
          <w:rFonts w:hint="default" w:ascii="Times New Roman" w:hAnsi="Times New Roman" w:eastAsia="仿宋_GB2312" w:cs="Times New Roman"/>
          <w:color w:val="auto"/>
          <w:sz w:val="32"/>
          <w:szCs w:val="32"/>
          <w:highlight w:val="none"/>
        </w:rPr>
        <w:t>2022年度一般公共预算财政拨款支出年初预算为</w:t>
      </w:r>
      <w:r>
        <w:rPr>
          <w:rFonts w:hint="default" w:ascii="Times New Roman" w:hAnsi="Times New Roman" w:eastAsia="仿宋_GB2312" w:cs="Times New Roman"/>
          <w:color w:val="auto"/>
          <w:sz w:val="32"/>
          <w:szCs w:val="32"/>
          <w:highlight w:val="none"/>
          <w:lang w:val="en-US" w:eastAsia="zh-CN"/>
        </w:rPr>
        <w:t>433.39</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444.69</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w:t>
      </w:r>
      <w:r>
        <w:rPr>
          <w:rFonts w:hint="default" w:ascii="Times New Roman" w:hAnsi="Times New Roman" w:eastAsia="仿宋_GB2312" w:cs="Times New Roman"/>
          <w:color w:val="auto"/>
          <w:sz w:val="32"/>
          <w:szCs w:val="32"/>
          <w:highlight w:val="none"/>
          <w:lang w:val="en-US" w:eastAsia="zh-CN"/>
        </w:rPr>
        <w:t>102.61</w:t>
      </w:r>
      <w:r>
        <w:rPr>
          <w:rFonts w:hint="default" w:ascii="Times New Roman" w:hAnsi="Times New Roman" w:eastAsia="仿宋_GB2312" w:cs="Times New Roman"/>
          <w:color w:val="auto"/>
          <w:sz w:val="32"/>
          <w:szCs w:val="32"/>
          <w:highlight w:val="none"/>
        </w:rPr>
        <w:t>%。其中</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社会保障和就业支出（类）行政事业单位养老支出（款）机关事业单位基本养老保险缴费支出（项）。</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8.99</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10.23</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w:t>
      </w:r>
      <w:r>
        <w:rPr>
          <w:rFonts w:hint="default" w:ascii="Times New Roman" w:hAnsi="Times New Roman" w:eastAsia="仿宋_GB2312" w:cs="Times New Roman"/>
          <w:color w:val="auto"/>
          <w:sz w:val="32"/>
          <w:szCs w:val="32"/>
          <w:highlight w:val="none"/>
          <w:lang w:val="en-US" w:eastAsia="zh-CN"/>
        </w:rPr>
        <w:t>113.79</w:t>
      </w:r>
      <w:r>
        <w:rPr>
          <w:rFonts w:hint="default" w:ascii="Times New Roman" w:hAnsi="Times New Roman" w:eastAsia="仿宋_GB2312" w:cs="Times New Roman"/>
          <w:color w:val="auto"/>
          <w:sz w:val="32"/>
          <w:szCs w:val="32"/>
          <w:highlight w:val="none"/>
        </w:rPr>
        <w:t>%。决算数</w:t>
      </w:r>
      <w:r>
        <w:rPr>
          <w:rFonts w:hint="default" w:ascii="Times New Roman" w:hAnsi="Times New Roman" w:eastAsia="仿宋_GB2312" w:cs="Times New Roman"/>
          <w:color w:val="auto"/>
          <w:sz w:val="32"/>
          <w:szCs w:val="32"/>
          <w:highlight w:val="none"/>
          <w:lang w:val="en-US" w:eastAsia="zh-CN"/>
        </w:rPr>
        <w:t>大于</w:t>
      </w:r>
      <w:r>
        <w:rPr>
          <w:rFonts w:hint="default" w:ascii="Times New Roman" w:hAnsi="Times New Roman" w:eastAsia="仿宋_GB2312" w:cs="Times New Roman"/>
          <w:color w:val="auto"/>
          <w:sz w:val="32"/>
          <w:szCs w:val="32"/>
          <w:highlight w:val="none"/>
        </w:rPr>
        <w:t>预算数的主要原因</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根据财政要求增资变动。</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社会保障和就业支出（类）行政事业单位养老支出（款）机关事业单位职业年金缴费支出（项）。</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13.14</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%。决算数</w:t>
      </w:r>
      <w:r>
        <w:rPr>
          <w:rFonts w:hint="default" w:ascii="Times New Roman" w:hAnsi="Times New Roman" w:eastAsia="仿宋_GB2312" w:cs="Times New Roman"/>
          <w:color w:val="auto"/>
          <w:sz w:val="32"/>
          <w:szCs w:val="32"/>
          <w:highlight w:val="none"/>
          <w:lang w:val="en-US" w:eastAsia="zh-CN"/>
        </w:rPr>
        <w:t>大于</w:t>
      </w:r>
      <w:r>
        <w:rPr>
          <w:rFonts w:hint="default" w:ascii="Times New Roman" w:hAnsi="Times New Roman" w:eastAsia="仿宋_GB2312" w:cs="Times New Roman"/>
          <w:color w:val="auto"/>
          <w:sz w:val="32"/>
          <w:szCs w:val="32"/>
          <w:highlight w:val="none"/>
        </w:rPr>
        <w:t>预算数的主要原因</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根据人力资源和社会保障局要求记实在编人员单位部分职业年金</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卫生健康支出（类）行政事业单位医疗（款）事业单位医疗（项）</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4.78</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4.59</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w:t>
      </w:r>
      <w:r>
        <w:rPr>
          <w:rFonts w:hint="default" w:ascii="Times New Roman" w:hAnsi="Times New Roman" w:eastAsia="仿宋_GB2312" w:cs="Times New Roman"/>
          <w:color w:val="auto"/>
          <w:sz w:val="32"/>
          <w:szCs w:val="32"/>
          <w:highlight w:val="none"/>
          <w:lang w:val="en-US" w:eastAsia="zh-CN"/>
        </w:rPr>
        <w:t>96.03</w:t>
      </w:r>
      <w:r>
        <w:rPr>
          <w:rFonts w:hint="default" w:ascii="Times New Roman" w:hAnsi="Times New Roman" w:eastAsia="仿宋_GB2312" w:cs="Times New Roman"/>
          <w:color w:val="auto"/>
          <w:sz w:val="32"/>
          <w:szCs w:val="32"/>
          <w:highlight w:val="none"/>
        </w:rPr>
        <w:t>%。决算数大于预算数的主要原因</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2022年度无相关增资情况。</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卫生健康支出（类）行政事业单位医疗（款）公务员医疗补助（项）</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5.84</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7.03</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w:t>
      </w:r>
      <w:r>
        <w:rPr>
          <w:rFonts w:hint="default" w:ascii="Times New Roman" w:hAnsi="Times New Roman" w:eastAsia="仿宋_GB2312" w:cs="Times New Roman"/>
          <w:color w:val="auto"/>
          <w:sz w:val="32"/>
          <w:szCs w:val="32"/>
          <w:highlight w:val="none"/>
          <w:lang w:val="en-US" w:eastAsia="zh-CN"/>
        </w:rPr>
        <w:t>120.38</w:t>
      </w:r>
      <w:r>
        <w:rPr>
          <w:rFonts w:hint="default" w:ascii="Times New Roman" w:hAnsi="Times New Roman" w:eastAsia="仿宋_GB2312" w:cs="Times New Roman"/>
          <w:color w:val="auto"/>
          <w:sz w:val="32"/>
          <w:szCs w:val="32"/>
          <w:highlight w:val="none"/>
        </w:rPr>
        <w:t>%。决算数大</w:t>
      </w:r>
      <w:r>
        <w:rPr>
          <w:rFonts w:hint="default" w:ascii="Times New Roman" w:hAnsi="Times New Roman" w:eastAsia="仿宋_GB2312" w:cs="Times New Roman"/>
          <w:color w:val="auto"/>
          <w:sz w:val="32"/>
          <w:szCs w:val="32"/>
          <w:highlight w:val="none"/>
          <w:lang w:val="en-US" w:eastAsia="zh-CN"/>
        </w:rPr>
        <w:t>于</w:t>
      </w:r>
      <w:r>
        <w:rPr>
          <w:rFonts w:hint="default" w:ascii="Times New Roman" w:hAnsi="Times New Roman" w:eastAsia="仿宋_GB2312" w:cs="Times New Roman"/>
          <w:color w:val="auto"/>
          <w:sz w:val="32"/>
          <w:szCs w:val="32"/>
          <w:highlight w:val="none"/>
        </w:rPr>
        <w:t>预算数的主要原因</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根据财政要求增资变动。</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5.农林水</w:t>
      </w:r>
      <w:r>
        <w:rPr>
          <w:rFonts w:hint="default" w:ascii="Times New Roman" w:hAnsi="Times New Roman" w:eastAsia="仿宋_GB2312" w:cs="Times New Roman"/>
          <w:b/>
          <w:color w:val="auto"/>
          <w:sz w:val="32"/>
          <w:szCs w:val="32"/>
          <w:highlight w:val="none"/>
        </w:rPr>
        <w:t>（</w:t>
      </w:r>
      <w:r>
        <w:rPr>
          <w:rFonts w:hint="default" w:ascii="Times New Roman" w:hAnsi="Times New Roman" w:eastAsia="仿宋_GB2312" w:cs="Times New Roman"/>
          <w:color w:val="auto"/>
          <w:sz w:val="32"/>
          <w:szCs w:val="32"/>
          <w:highlight w:val="none"/>
        </w:rPr>
        <w:t>类）</w:t>
      </w:r>
      <w:r>
        <w:rPr>
          <w:rFonts w:hint="default" w:ascii="Times New Roman" w:hAnsi="Times New Roman" w:eastAsia="仿宋_GB2312" w:cs="Times New Roman"/>
          <w:color w:val="auto"/>
          <w:sz w:val="32"/>
          <w:szCs w:val="32"/>
          <w:highlight w:val="none"/>
          <w:lang w:eastAsia="zh-CN"/>
        </w:rPr>
        <w:t>农业农村</w:t>
      </w:r>
      <w:r>
        <w:rPr>
          <w:rFonts w:hint="default" w:ascii="Times New Roman" w:hAnsi="Times New Roman" w:eastAsia="仿宋_GB2312" w:cs="Times New Roman"/>
          <w:color w:val="auto"/>
          <w:sz w:val="32"/>
          <w:szCs w:val="32"/>
          <w:highlight w:val="none"/>
        </w:rPr>
        <w:t>（款）</w:t>
      </w:r>
      <w:r>
        <w:rPr>
          <w:rFonts w:hint="default" w:ascii="Times New Roman" w:hAnsi="Times New Roman" w:eastAsia="仿宋_GB2312" w:cs="Times New Roman"/>
          <w:color w:val="auto"/>
          <w:sz w:val="32"/>
          <w:szCs w:val="32"/>
          <w:highlight w:val="none"/>
          <w:lang w:eastAsia="zh-CN"/>
        </w:rPr>
        <w:t>农田建设</w:t>
      </w:r>
      <w:r>
        <w:rPr>
          <w:rFonts w:hint="default" w:ascii="Times New Roman" w:hAnsi="Times New Roman" w:eastAsia="仿宋_GB2312" w:cs="Times New Roman"/>
          <w:color w:val="auto"/>
          <w:sz w:val="32"/>
          <w:szCs w:val="32"/>
          <w:highlight w:val="none"/>
        </w:rPr>
        <w:t>（项）</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123.62</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%。决算数大于预算数的主要原因</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支付三亚市海棠区风塘村与南田农场旱地改造水田土地整治项目审计后剩余工程款及工程其他款</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6.自然资源海洋气象等支出（类）自然资源事务（款）土地资源储备支出（项）。</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FF0000"/>
          <w:sz w:val="32"/>
          <w:szCs w:val="32"/>
          <w:highlight w:val="none"/>
          <w:lang w:eastAsia="zh-CN"/>
        </w:rPr>
      </w:pPr>
      <w:r>
        <w:rPr>
          <w:rFonts w:hint="default" w:ascii="Times New Roman" w:hAnsi="Times New Roman" w:eastAsia="仿宋_GB2312" w:cs="Times New Roman"/>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260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188.03</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完成年初预算的72.32%。决算数</w:t>
      </w:r>
      <w:r>
        <w:rPr>
          <w:rFonts w:hint="default" w:ascii="Times New Roman" w:hAnsi="Times New Roman" w:eastAsia="仿宋_GB2312" w:cs="Times New Roman"/>
          <w:color w:val="auto"/>
          <w:sz w:val="32"/>
          <w:szCs w:val="32"/>
          <w:highlight w:val="none"/>
          <w:lang w:eastAsia="zh-CN"/>
        </w:rPr>
        <w:t>小于</w:t>
      </w:r>
      <w:r>
        <w:rPr>
          <w:rFonts w:hint="default" w:ascii="Times New Roman" w:hAnsi="Times New Roman" w:eastAsia="仿宋_GB2312" w:cs="Times New Roman"/>
          <w:color w:val="auto"/>
          <w:sz w:val="32"/>
          <w:szCs w:val="32"/>
          <w:highlight w:val="none"/>
        </w:rPr>
        <w:t>预算数的主要原因</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根据财政要求上缴剩余资金。</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7.自然资源海洋气象等支出（类）自然资源事务（款）事业运行（项）。</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138.77</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84.31</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w:t>
      </w:r>
      <w:r>
        <w:rPr>
          <w:rFonts w:hint="default" w:ascii="Times New Roman" w:hAnsi="Times New Roman" w:eastAsia="仿宋_GB2312" w:cs="Times New Roman"/>
          <w:color w:val="auto"/>
          <w:sz w:val="32"/>
          <w:szCs w:val="32"/>
          <w:highlight w:val="none"/>
          <w:lang w:val="en-US" w:eastAsia="zh-CN"/>
        </w:rPr>
        <w:t>60.76</w:t>
      </w:r>
      <w:r>
        <w:rPr>
          <w:rFonts w:hint="default" w:ascii="Times New Roman" w:hAnsi="Times New Roman" w:eastAsia="仿宋_GB2312" w:cs="Times New Roman"/>
          <w:color w:val="auto"/>
          <w:sz w:val="32"/>
          <w:szCs w:val="32"/>
          <w:highlight w:val="none"/>
        </w:rPr>
        <w:t>%。决算数</w:t>
      </w:r>
      <w:r>
        <w:rPr>
          <w:rFonts w:hint="default" w:ascii="Times New Roman" w:hAnsi="Times New Roman" w:eastAsia="仿宋_GB2312" w:cs="Times New Roman"/>
          <w:color w:val="auto"/>
          <w:sz w:val="32"/>
          <w:szCs w:val="32"/>
          <w:highlight w:val="none"/>
          <w:lang w:eastAsia="zh-CN"/>
        </w:rPr>
        <w:t>小</w:t>
      </w:r>
      <w:r>
        <w:rPr>
          <w:rFonts w:hint="default" w:ascii="Times New Roman" w:hAnsi="Times New Roman" w:eastAsia="仿宋_GB2312" w:cs="Times New Roman"/>
          <w:color w:val="auto"/>
          <w:sz w:val="32"/>
          <w:szCs w:val="32"/>
          <w:highlight w:val="none"/>
        </w:rPr>
        <w:t>于预算数的主要原因</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财政要求上缴剩余资金。</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8.自然资源海洋气象等支出</w:t>
      </w:r>
      <w:r>
        <w:rPr>
          <w:rFonts w:hint="default" w:ascii="Times New Roman" w:hAnsi="Times New Roman" w:eastAsia="仿宋_GB2312" w:cs="Times New Roman"/>
          <w:color w:val="auto"/>
          <w:sz w:val="32"/>
          <w:szCs w:val="32"/>
          <w:highlight w:val="none"/>
        </w:rPr>
        <w:t>（类）</w:t>
      </w:r>
      <w:r>
        <w:rPr>
          <w:rFonts w:hint="default" w:ascii="Times New Roman" w:hAnsi="Times New Roman" w:eastAsia="仿宋_GB2312" w:cs="Times New Roman"/>
          <w:color w:val="auto"/>
          <w:sz w:val="32"/>
          <w:szCs w:val="32"/>
          <w:highlight w:val="none"/>
          <w:lang w:val="en-US" w:eastAsia="zh-CN"/>
        </w:rPr>
        <w:t>自然资源事务</w:t>
      </w:r>
      <w:r>
        <w:rPr>
          <w:rFonts w:hint="default" w:ascii="Times New Roman" w:hAnsi="Times New Roman" w:eastAsia="仿宋_GB2312" w:cs="Times New Roman"/>
          <w:color w:val="auto"/>
          <w:sz w:val="32"/>
          <w:szCs w:val="32"/>
          <w:highlight w:val="none"/>
        </w:rPr>
        <w:t>（款）</w:t>
      </w:r>
      <w:r>
        <w:rPr>
          <w:rFonts w:hint="default" w:ascii="Times New Roman" w:hAnsi="Times New Roman" w:eastAsia="仿宋_GB2312" w:cs="Times New Roman"/>
          <w:color w:val="auto"/>
          <w:sz w:val="32"/>
          <w:szCs w:val="32"/>
          <w:highlight w:val="none"/>
          <w:lang w:val="en-US" w:eastAsia="zh-CN"/>
        </w:rPr>
        <w:t>其他自然资源事务支出</w:t>
      </w:r>
      <w:r>
        <w:rPr>
          <w:rFonts w:hint="default" w:ascii="Times New Roman" w:hAnsi="Times New Roman" w:eastAsia="仿宋_GB2312" w:cs="Times New Roman"/>
          <w:color w:val="auto"/>
          <w:sz w:val="32"/>
          <w:szCs w:val="32"/>
          <w:highlight w:val="none"/>
        </w:rPr>
        <w:t>（项）</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5.10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完成年初预算的63.7</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 %。决算数</w:t>
      </w:r>
      <w:r>
        <w:rPr>
          <w:rFonts w:hint="default" w:ascii="Times New Roman" w:hAnsi="Times New Roman" w:eastAsia="仿宋_GB2312" w:cs="Times New Roman"/>
          <w:color w:val="auto"/>
          <w:sz w:val="32"/>
          <w:szCs w:val="32"/>
          <w:highlight w:val="none"/>
          <w:lang w:eastAsia="zh-CN"/>
        </w:rPr>
        <w:t>小</w:t>
      </w:r>
      <w:r>
        <w:rPr>
          <w:rFonts w:hint="default" w:ascii="Times New Roman" w:hAnsi="Times New Roman" w:eastAsia="仿宋_GB2312" w:cs="Times New Roman"/>
          <w:color w:val="auto"/>
          <w:sz w:val="32"/>
          <w:szCs w:val="32"/>
          <w:highlight w:val="none"/>
        </w:rPr>
        <w:t>于预算数的主要原因</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财政要求上缴剩余资金。</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9.住房保障支出</w:t>
      </w:r>
      <w:r>
        <w:rPr>
          <w:rFonts w:hint="default" w:ascii="Times New Roman" w:hAnsi="Times New Roman" w:eastAsia="仿宋_GB2312" w:cs="Times New Roman"/>
          <w:color w:val="auto"/>
          <w:sz w:val="32"/>
          <w:szCs w:val="32"/>
          <w:highlight w:val="none"/>
          <w:lang w:eastAsia="zh-CN"/>
        </w:rPr>
        <w:t>（类）</w:t>
      </w:r>
      <w:r>
        <w:rPr>
          <w:rFonts w:hint="default" w:ascii="Times New Roman" w:hAnsi="Times New Roman" w:eastAsia="仿宋_GB2312" w:cs="Times New Roman"/>
          <w:color w:val="auto"/>
          <w:sz w:val="32"/>
          <w:szCs w:val="32"/>
          <w:highlight w:val="none"/>
          <w:lang w:val="en-US" w:eastAsia="zh-CN"/>
        </w:rPr>
        <w:t>住房改革支出</w:t>
      </w:r>
      <w:r>
        <w:rPr>
          <w:rFonts w:hint="default" w:ascii="Times New Roman" w:hAnsi="Times New Roman" w:eastAsia="仿宋_GB2312" w:cs="Times New Roman"/>
          <w:color w:val="auto"/>
          <w:sz w:val="32"/>
          <w:szCs w:val="32"/>
          <w:highlight w:val="none"/>
          <w:lang w:eastAsia="zh-CN"/>
        </w:rPr>
        <w:t>（款）</w:t>
      </w:r>
      <w:r>
        <w:rPr>
          <w:rFonts w:hint="default" w:ascii="Times New Roman" w:hAnsi="Times New Roman" w:eastAsia="仿宋_GB2312" w:cs="Times New Roman"/>
          <w:color w:val="auto"/>
          <w:sz w:val="32"/>
          <w:szCs w:val="32"/>
          <w:highlight w:val="none"/>
          <w:lang w:val="en-US" w:eastAsia="zh-CN"/>
        </w:rPr>
        <w:t>住房公积金</w:t>
      </w:r>
      <w:r>
        <w:rPr>
          <w:rFonts w:hint="default" w:ascii="Times New Roman" w:hAnsi="Times New Roman" w:eastAsia="仿宋_GB2312" w:cs="Times New Roman"/>
          <w:color w:val="auto"/>
          <w:sz w:val="32"/>
          <w:szCs w:val="32"/>
          <w:highlight w:val="none"/>
          <w:lang w:eastAsia="zh-CN"/>
        </w:rPr>
        <w:t>（项）。</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7.01</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8.64</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w:t>
      </w:r>
      <w:r>
        <w:rPr>
          <w:rFonts w:hint="default" w:ascii="Times New Roman" w:hAnsi="Times New Roman" w:eastAsia="仿宋_GB2312" w:cs="Times New Roman"/>
          <w:color w:val="auto"/>
          <w:sz w:val="32"/>
          <w:szCs w:val="32"/>
          <w:highlight w:val="none"/>
          <w:lang w:val="en-US" w:eastAsia="zh-CN"/>
        </w:rPr>
        <w:t>123.25</w:t>
      </w:r>
      <w:r>
        <w:rPr>
          <w:rFonts w:hint="default" w:ascii="Times New Roman" w:hAnsi="Times New Roman" w:eastAsia="仿宋_GB2312" w:cs="Times New Roman"/>
          <w:color w:val="auto"/>
          <w:sz w:val="32"/>
          <w:szCs w:val="32"/>
          <w:highlight w:val="none"/>
        </w:rPr>
        <w:t>%。决算数大</w:t>
      </w:r>
      <w:r>
        <w:rPr>
          <w:rFonts w:hint="default" w:ascii="Times New Roman" w:hAnsi="Times New Roman" w:eastAsia="仿宋_GB2312" w:cs="Times New Roman"/>
          <w:color w:val="auto"/>
          <w:sz w:val="32"/>
          <w:szCs w:val="32"/>
          <w:highlight w:val="none"/>
          <w:lang w:val="en-US" w:eastAsia="zh-CN"/>
        </w:rPr>
        <w:t>于</w:t>
      </w:r>
      <w:r>
        <w:rPr>
          <w:rFonts w:hint="default" w:ascii="Times New Roman" w:hAnsi="Times New Roman" w:eastAsia="仿宋_GB2312" w:cs="Times New Roman"/>
          <w:color w:val="auto"/>
          <w:sz w:val="32"/>
          <w:szCs w:val="32"/>
          <w:highlight w:val="none"/>
        </w:rPr>
        <w:t>预算数的主要原因</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根据财政要求增资变动。</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bCs/>
          <w:color w:val="auto"/>
          <w:sz w:val="32"/>
          <w:szCs w:val="32"/>
          <w:highlight w:val="none"/>
        </w:rPr>
        <w:t>六、一般公共预算财政拨款基本支出决算情况说明</w:t>
      </w:r>
    </w:p>
    <w:p>
      <w:pPr>
        <w:keepNext w:val="0"/>
        <w:keepLines w:val="0"/>
        <w:pageBreakBefore w:val="0"/>
        <w:tabs>
          <w:tab w:val="center" w:pos="4473"/>
        </w:tabs>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2022年度财政拨款基本支出</w:t>
      </w:r>
      <w:r>
        <w:rPr>
          <w:rFonts w:hint="default" w:ascii="Times New Roman" w:hAnsi="Times New Roman" w:eastAsia="仿宋_GB2312" w:cs="Times New Roman"/>
          <w:color w:val="auto"/>
          <w:sz w:val="32"/>
          <w:szCs w:val="32"/>
          <w:highlight w:val="none"/>
          <w:lang w:val="en-US" w:eastAsia="zh-CN"/>
        </w:rPr>
        <w:t>127.94</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其中</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人员经费</w:t>
      </w:r>
      <w:r>
        <w:rPr>
          <w:rFonts w:hint="default" w:ascii="Times New Roman" w:hAnsi="Times New Roman" w:eastAsia="仿宋_GB2312" w:cs="Times New Roman"/>
          <w:color w:val="auto"/>
          <w:sz w:val="32"/>
          <w:szCs w:val="32"/>
          <w:highlight w:val="none"/>
          <w:lang w:val="en-US" w:eastAsia="zh-CN"/>
        </w:rPr>
        <w:t>121.29</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主要包括</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基本工资、津贴补贴、绩效工资、机关事业单位基本养老保险缴费、职业年金缴费、职工基本医疗保险缴费、公务员医疗补助缴费、其他社会保障缴费、住房公积金、医疗费、其他工资福利支出。公用经费</w:t>
      </w:r>
      <w:r>
        <w:rPr>
          <w:rFonts w:hint="default" w:ascii="Times New Roman" w:hAnsi="Times New Roman" w:eastAsia="仿宋_GB2312" w:cs="Times New Roman"/>
          <w:color w:val="auto"/>
          <w:sz w:val="32"/>
          <w:szCs w:val="32"/>
          <w:highlight w:val="none"/>
          <w:lang w:val="en-US" w:eastAsia="zh-CN"/>
        </w:rPr>
        <w:t>6.65</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主要包括</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商品和服务支出中的办公费、电费、邮电费、差旅费、工会经费、公务用车运行维护费、其他交通费用、其他商品和服务支出。</w:t>
      </w:r>
    </w:p>
    <w:p>
      <w:pPr>
        <w:keepNext w:val="0"/>
        <w:keepLines w:val="0"/>
        <w:pageBreakBefore w:val="0"/>
        <w:tabs>
          <w:tab w:val="center" w:pos="4473"/>
        </w:tabs>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七、政府性基金预算财政拨款支出决算情况说明</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（一）政府性基金预算财政拨款支出决算总体情况。</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2022年度政府性基金预算财政拨款支出</w:t>
      </w:r>
      <w:r>
        <w:rPr>
          <w:rFonts w:hint="default" w:ascii="Times New Roman" w:hAnsi="Times New Roman" w:eastAsia="仿宋_GB2312" w:cs="Times New Roman"/>
          <w:color w:val="auto"/>
          <w:sz w:val="32"/>
          <w:szCs w:val="32"/>
          <w:highlight w:val="none"/>
          <w:lang w:val="en-US" w:eastAsia="zh-CN"/>
        </w:rPr>
        <w:t>18998.06</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占本年支出合计的</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%。与2021年度相比</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政府性基金预算财政拨款支出增加</w:t>
      </w:r>
      <w:r>
        <w:rPr>
          <w:rFonts w:hint="default" w:ascii="Times New Roman" w:hAnsi="Times New Roman" w:eastAsia="仿宋_GB2312" w:cs="Times New Roman"/>
          <w:color w:val="auto"/>
          <w:sz w:val="32"/>
          <w:szCs w:val="32"/>
          <w:highlight w:val="none"/>
          <w:lang w:val="en-US" w:eastAsia="zh-CN"/>
        </w:rPr>
        <w:t>5780.03</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增长</w:t>
      </w:r>
      <w:r>
        <w:rPr>
          <w:rFonts w:hint="default" w:ascii="Times New Roman" w:hAnsi="Times New Roman" w:eastAsia="仿宋_GB2312" w:cs="Times New Roman"/>
          <w:color w:val="auto"/>
          <w:sz w:val="32"/>
          <w:szCs w:val="32"/>
          <w:highlight w:val="none"/>
          <w:lang w:val="en-US" w:eastAsia="zh-CN"/>
        </w:rPr>
        <w:t>43.73</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主要原因是</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支付</w:t>
      </w:r>
      <w:r>
        <w:rPr>
          <w:rFonts w:hint="default" w:ascii="Times New Roman" w:hAnsi="Times New Roman" w:eastAsia="仿宋_GB2312" w:cs="Times New Roman"/>
          <w:color w:val="auto"/>
          <w:sz w:val="32"/>
          <w:szCs w:val="32"/>
          <w:highlight w:val="none"/>
        </w:rPr>
        <w:t>南雅项目新增耕地指标收储合同</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一次性支付收储新增耕地指标</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5等水田面积478.1538亩、8等旱地面积201.1866亩的费用。</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（二）政府性基金预算财政拨款支出决算结构情况。</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color w:val="auto"/>
          <w:sz w:val="32"/>
          <w:szCs w:val="32"/>
          <w:highlight w:val="none"/>
        </w:rPr>
        <w:t>2022年度政府性基金预算财政拨款支出</w:t>
      </w:r>
      <w:r>
        <w:rPr>
          <w:rFonts w:hint="default" w:ascii="Times New Roman" w:hAnsi="Times New Roman" w:eastAsia="仿宋_GB2312" w:cs="Times New Roman"/>
          <w:color w:val="auto"/>
          <w:sz w:val="32"/>
          <w:szCs w:val="32"/>
          <w:highlight w:val="none"/>
          <w:lang w:val="en-US" w:eastAsia="zh-CN"/>
        </w:rPr>
        <w:t>18998.06</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主要用于以下方面</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城乡社区支出</w:t>
      </w:r>
      <w:r>
        <w:rPr>
          <w:rFonts w:hint="default" w:ascii="Times New Roman" w:hAnsi="Times New Roman" w:eastAsia="仿宋_GB2312" w:cs="Times New Roman"/>
          <w:b w:val="0"/>
          <w:bCs/>
          <w:color w:val="auto"/>
          <w:sz w:val="32"/>
          <w:szCs w:val="32"/>
          <w:highlight w:val="none"/>
        </w:rPr>
        <w:t>（类）</w:t>
      </w:r>
      <w:r>
        <w:rPr>
          <w:rFonts w:hint="default" w:ascii="Times New Roman" w:hAnsi="Times New Roman" w:eastAsia="仿宋_GB2312" w:cs="Times New Roman"/>
          <w:color w:val="auto"/>
          <w:sz w:val="32"/>
          <w:szCs w:val="32"/>
          <w:highlight w:val="none"/>
        </w:rPr>
        <w:t>支出</w:t>
      </w:r>
      <w:r>
        <w:rPr>
          <w:rFonts w:hint="default" w:ascii="Times New Roman" w:hAnsi="Times New Roman" w:eastAsia="仿宋_GB2312" w:cs="Times New Roman"/>
          <w:color w:val="auto"/>
          <w:sz w:val="32"/>
          <w:szCs w:val="32"/>
          <w:highlight w:val="none"/>
          <w:lang w:val="en-US" w:eastAsia="zh-CN"/>
        </w:rPr>
        <w:t>18998.06</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（三）政府性基金预算财政拨款支出决算具体情况。</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eastAsia" w:ascii="Times New Roman" w:hAnsi="Times New Roman" w:eastAsia="仿宋_GB2312" w:cs="Times New Roman"/>
          <w:color w:val="FF0000"/>
          <w:sz w:val="32"/>
          <w:szCs w:val="32"/>
          <w:highlight w:val="none"/>
          <w:lang w:eastAsia="zh-CN"/>
        </w:rPr>
      </w:pPr>
      <w:r>
        <w:rPr>
          <w:rFonts w:hint="default" w:ascii="Times New Roman" w:hAnsi="Times New Roman" w:eastAsia="仿宋_GB2312" w:cs="Times New Roman"/>
          <w:color w:val="auto"/>
          <w:sz w:val="32"/>
          <w:szCs w:val="32"/>
          <w:highlight w:val="none"/>
        </w:rPr>
        <w:t>2022年度政府性基金预算财政拨款支出年初预算为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18998.06</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%。其中</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color w:val="auto"/>
          <w:sz w:val="32"/>
          <w:szCs w:val="32"/>
          <w:highlight w:val="none"/>
          <w:lang w:eastAsia="zh-CN"/>
        </w:rPr>
        <w:t>城乡社区支出（类）国有土地使用权出让收入安排的支出（款）其他国有土地使用权出</w:t>
      </w:r>
      <w:r>
        <w:rPr>
          <w:rFonts w:hint="default" w:ascii="Times New Roman" w:hAnsi="Times New Roman" w:eastAsia="仿宋_GB2312" w:cs="Times New Roman"/>
          <w:color w:val="auto"/>
          <w:sz w:val="32"/>
          <w:szCs w:val="32"/>
          <w:highlight w:val="none"/>
        </w:rPr>
        <w:t>让收入安排的</w:t>
      </w:r>
      <w:r>
        <w:rPr>
          <w:rFonts w:hint="default" w:ascii="Times New Roman" w:hAnsi="Times New Roman" w:eastAsia="仿宋_GB2312" w:cs="Times New Roman"/>
          <w:color w:val="auto"/>
          <w:sz w:val="32"/>
          <w:szCs w:val="32"/>
          <w:highlight w:val="none"/>
          <w:lang w:eastAsia="zh-CN"/>
        </w:rPr>
        <w:t>支出（项）</w:t>
      </w:r>
      <w:r>
        <w:rPr>
          <w:rFonts w:hint="default" w:ascii="Times New Roman" w:hAnsi="Times New Roman" w:eastAsia="仿宋_GB2312" w:cs="Times New Roman"/>
          <w:b w:val="0"/>
          <w:bCs/>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18998.06</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%。决算数大于预算数的主要原因是</w:t>
      </w:r>
      <w:r>
        <w:rPr>
          <w:rFonts w:hint="default" w:ascii="Times New Roman" w:hAnsi="Times New Roman" w:eastAsia="仿宋_GB2312" w:cs="Times New Roman"/>
          <w:color w:val="auto"/>
          <w:sz w:val="32"/>
          <w:szCs w:val="32"/>
          <w:highlight w:val="none"/>
          <w:lang w:eastAsia="zh-CN"/>
        </w:rPr>
        <w:t>新增支付</w:t>
      </w:r>
      <w:r>
        <w:rPr>
          <w:rFonts w:hint="default" w:ascii="Times New Roman" w:hAnsi="Times New Roman" w:eastAsia="仿宋_GB2312" w:cs="Times New Roman"/>
          <w:color w:val="auto"/>
          <w:sz w:val="32"/>
          <w:szCs w:val="32"/>
          <w:highlight w:val="none"/>
        </w:rPr>
        <w:t>南雅项目新增耕地指标收储合同</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一次性支付收储新增耕地指标</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5等水田面积478.1538亩、8等旱地面积201.1866亩的费用</w:t>
      </w:r>
      <w:r>
        <w:rPr>
          <w:rFonts w:hint="eastAsia" w:ascii="Times New Roman" w:hAnsi="Times New Roman" w:eastAsia="仿宋_GB2312" w:cs="Times New Roman"/>
          <w:color w:val="auto"/>
          <w:sz w:val="32"/>
          <w:szCs w:val="32"/>
          <w:highlight w:val="none"/>
          <w:lang w:eastAsia="zh-CN"/>
        </w:rPr>
        <w:t>，年初无该预算导致决算数大于预算数</w:t>
      </w:r>
      <w:r>
        <w:rPr>
          <w:rFonts w:hint="default" w:ascii="Times New Roman" w:hAnsi="Times New Roman" w:eastAsia="仿宋_GB2312" w:cs="Times New Roman"/>
          <w:color w:val="auto"/>
          <w:sz w:val="32"/>
          <w:szCs w:val="32"/>
          <w:highlight w:val="none"/>
        </w:rPr>
        <w:t>。</w:t>
      </w:r>
    </w:p>
    <w:p>
      <w:pPr>
        <w:keepNext w:val="0"/>
        <w:keepLines w:val="0"/>
        <w:pageBreakBefore w:val="0"/>
        <w:tabs>
          <w:tab w:val="center" w:pos="4473"/>
        </w:tabs>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八、国有资本经营预算财政拨款支出决算情况说明</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（一）国有资本经营预算财政拨款支出决算总体情况。</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2022年度国有资本经营预算财政拨款支出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占本年支出合计的</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%。与2021年度相比</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国有资本经营预算财政拨款支出增加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增长</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主要原因是</w:t>
      </w:r>
      <w:r>
        <w:rPr>
          <w:rFonts w:hint="default" w:ascii="Times New Roman" w:hAnsi="Times New Roman" w:eastAsia="仿宋_GB2312" w:cs="Times New Roman"/>
          <w:color w:val="auto"/>
          <w:sz w:val="32"/>
          <w:szCs w:val="32"/>
          <w:highlight w:val="none"/>
          <w:lang w:eastAsia="zh-CN"/>
        </w:rPr>
        <w:t>我中心无</w:t>
      </w:r>
      <w:r>
        <w:rPr>
          <w:rFonts w:hint="default" w:ascii="Times New Roman" w:hAnsi="Times New Roman" w:eastAsia="楷体" w:cs="Times New Roman"/>
          <w:color w:val="auto"/>
          <w:sz w:val="32"/>
          <w:szCs w:val="32"/>
          <w:highlight w:val="none"/>
        </w:rPr>
        <w:t>国有资本经营</w:t>
      </w:r>
      <w:r>
        <w:rPr>
          <w:rFonts w:hint="default" w:ascii="Times New Roman" w:hAnsi="Times New Roman" w:eastAsia="楷体" w:cs="Times New Roman"/>
          <w:color w:val="auto"/>
          <w:sz w:val="32"/>
          <w:szCs w:val="32"/>
          <w:highlight w:val="none"/>
          <w:lang w:eastAsia="zh-CN"/>
        </w:rPr>
        <w:t>业务</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（二）国有资本经营预算财政拨款支出决算结构情况。</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color w:val="auto"/>
          <w:sz w:val="32"/>
          <w:szCs w:val="32"/>
          <w:highlight w:val="none"/>
        </w:rPr>
        <w:t>2022年度国有资本经营预算财政拨款支出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（三）国有资本经营预算财政拨款支出决算具体情况。</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2022年度国有资本经营预算财政拨款支出年初预算为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完成年初预算的</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黑体" w:cs="Times New Roman"/>
          <w:bCs/>
          <w:color w:val="auto"/>
          <w:sz w:val="32"/>
          <w:szCs w:val="32"/>
          <w:highlight w:val="none"/>
        </w:rPr>
        <w:t>九、财政拨款“三公”经费支出决算情况说明</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bCs/>
          <w:color w:val="auto"/>
          <w:sz w:val="32"/>
          <w:szCs w:val="32"/>
          <w:highlight w:val="none"/>
        </w:rPr>
      </w:pPr>
      <w:r>
        <w:rPr>
          <w:rFonts w:hint="default" w:ascii="Times New Roman" w:hAnsi="Times New Roman" w:eastAsia="楷体" w:cs="Times New Roman"/>
          <w:bCs/>
          <w:color w:val="auto"/>
          <w:sz w:val="32"/>
          <w:szCs w:val="32"/>
          <w:highlight w:val="none"/>
        </w:rPr>
        <w:t>（一）财政拨款“三公”经费支出决算总体情况说明。</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color w:val="auto"/>
          <w:sz w:val="32"/>
          <w:szCs w:val="32"/>
          <w:highlight w:val="none"/>
        </w:rPr>
        <w:t>2022年度财政拨款“三公”经费支出预算为</w:t>
      </w:r>
      <w:r>
        <w:rPr>
          <w:rFonts w:hint="default" w:ascii="Times New Roman" w:hAnsi="Times New Roman" w:eastAsia="仿宋_GB2312" w:cs="Times New Roman"/>
          <w:color w:val="auto"/>
          <w:sz w:val="32"/>
          <w:szCs w:val="32"/>
          <w:highlight w:val="none"/>
          <w:lang w:val="en-US" w:eastAsia="zh-CN"/>
        </w:rPr>
        <w:t>1.65</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支出决算为</w:t>
      </w:r>
      <w:r>
        <w:rPr>
          <w:rFonts w:hint="default" w:ascii="Times New Roman" w:hAnsi="Times New Roman" w:eastAsia="仿宋_GB2312" w:cs="Times New Roman"/>
          <w:color w:val="auto"/>
          <w:sz w:val="32"/>
          <w:szCs w:val="32"/>
          <w:highlight w:val="none"/>
          <w:lang w:val="en-US" w:eastAsia="zh-CN"/>
        </w:rPr>
        <w:t>1.63</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完成预算的</w:t>
      </w:r>
      <w:r>
        <w:rPr>
          <w:rFonts w:hint="default" w:ascii="Times New Roman" w:hAnsi="Times New Roman" w:eastAsia="仿宋_GB2312" w:cs="Times New Roman"/>
          <w:color w:val="auto"/>
          <w:sz w:val="32"/>
          <w:szCs w:val="32"/>
          <w:highlight w:val="none"/>
          <w:lang w:val="en-US" w:eastAsia="zh-CN"/>
        </w:rPr>
        <w:t>98.79</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（二）财政拨款“三公”经费支出决算具体情况说明。</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2022年度财政拨款“三公”经费支出决算中</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因公出国（境）费支出决算</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公务用车购置及运行维护费支出决算</w:t>
      </w:r>
      <w:r>
        <w:rPr>
          <w:rFonts w:hint="default" w:ascii="Times New Roman" w:hAnsi="Times New Roman" w:eastAsia="仿宋_GB2312" w:cs="Times New Roman"/>
          <w:color w:val="auto"/>
          <w:sz w:val="32"/>
          <w:szCs w:val="32"/>
          <w:highlight w:val="none"/>
          <w:lang w:val="en-US" w:eastAsia="zh-CN"/>
        </w:rPr>
        <w:t>1.63</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公务接待费支出决算</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%。具体情况如下</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72" w:lineRule="exact"/>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1.因公出国（境）费</w:t>
      </w:r>
      <w:r>
        <w:rPr>
          <w:rFonts w:hint="default" w:ascii="Times New Roman" w:hAnsi="Times New Roman" w:eastAsia="仿宋_GB2312" w:cs="Times New Roman"/>
          <w:color w:val="auto"/>
          <w:sz w:val="32"/>
          <w:szCs w:val="32"/>
          <w:highlight w:val="none"/>
        </w:rPr>
        <w:t>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万元。全年安排因公出国（境）团组</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个</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因公出国（境）</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人次。</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color w:val="auto"/>
          <w:sz w:val="32"/>
          <w:szCs w:val="32"/>
          <w:highlight w:val="none"/>
        </w:rPr>
        <w:t>因公出国（境）费支出决算比预算数</w:t>
      </w:r>
      <w:r>
        <w:rPr>
          <w:rFonts w:hint="default" w:ascii="Times New Roman" w:hAnsi="Times New Roman" w:eastAsia="仿宋_GB2312" w:cs="Times New Roman"/>
          <w:color w:val="auto"/>
          <w:sz w:val="32"/>
          <w:szCs w:val="32"/>
          <w:highlight w:val="none"/>
          <w:lang w:eastAsia="zh-CN"/>
        </w:rPr>
        <w:t>持平</w:t>
      </w:r>
      <w:r>
        <w:rPr>
          <w:rFonts w:hint="default" w:ascii="Times New Roman" w:hAnsi="Times New Roman" w:eastAsia="仿宋_GB2312" w:cs="Times New Roman"/>
          <w:color w:val="auto"/>
          <w:sz w:val="32"/>
          <w:szCs w:val="32"/>
          <w:highlight w:val="none"/>
        </w:rPr>
        <w:t>。主要原因是</w:t>
      </w:r>
      <w:r>
        <w:rPr>
          <w:rFonts w:hint="default" w:ascii="Times New Roman" w:hAnsi="Times New Roman" w:eastAsia="仿宋_GB2312" w:cs="Times New Roman"/>
          <w:color w:val="auto"/>
          <w:sz w:val="32"/>
          <w:szCs w:val="32"/>
          <w:highlight w:val="none"/>
          <w:lang w:eastAsia="zh-CN"/>
        </w:rPr>
        <w:t>中心无因公出国</w:t>
      </w:r>
      <w:r>
        <w:rPr>
          <w:rFonts w:hint="default" w:ascii="Times New Roman" w:hAnsi="Times New Roman" w:eastAsia="仿宋_GB2312" w:cs="Times New Roman"/>
          <w:color w:val="auto"/>
          <w:sz w:val="32"/>
          <w:szCs w:val="32"/>
          <w:highlight w:val="none"/>
        </w:rPr>
        <w:t>（境）</w:t>
      </w:r>
      <w:r>
        <w:rPr>
          <w:rFonts w:hint="default" w:ascii="Times New Roman" w:hAnsi="Times New Roman" w:eastAsia="仿宋_GB2312" w:cs="Times New Roman"/>
          <w:color w:val="auto"/>
          <w:sz w:val="32"/>
          <w:szCs w:val="32"/>
          <w:highlight w:val="none"/>
          <w:lang w:eastAsia="zh-CN"/>
        </w:rPr>
        <w:t>相关业务</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3"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color w:val="auto"/>
          <w:sz w:val="32"/>
          <w:szCs w:val="32"/>
          <w:highlight w:val="none"/>
        </w:rPr>
        <w:t>2.公务用车购置及运行维护费支出</w:t>
      </w:r>
      <w:r>
        <w:rPr>
          <w:rFonts w:hint="default" w:ascii="Times New Roman" w:hAnsi="Times New Roman" w:eastAsia="仿宋_GB2312" w:cs="Times New Roman"/>
          <w:color w:val="auto"/>
          <w:sz w:val="32"/>
          <w:szCs w:val="32"/>
          <w:highlight w:val="none"/>
          <w:lang w:val="en-US" w:eastAsia="zh-CN"/>
        </w:rPr>
        <w:t>1.63</w:t>
      </w:r>
      <w:r>
        <w:rPr>
          <w:rFonts w:hint="default" w:ascii="Times New Roman" w:hAnsi="Times New Roman" w:eastAsia="仿宋_GB2312" w:cs="Times New Roman"/>
          <w:color w:val="auto"/>
          <w:sz w:val="32"/>
          <w:szCs w:val="32"/>
          <w:highlight w:val="none"/>
        </w:rPr>
        <w:t>万元。其中</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72" w:lineRule="exact"/>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公务用车购置支出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全年购置公务用车</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年末公务用车保有量</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辆。</w:t>
      </w:r>
    </w:p>
    <w:p>
      <w:pPr>
        <w:keepNext w:val="0"/>
        <w:keepLines w:val="0"/>
        <w:pageBreakBefore w:val="0"/>
        <w:kinsoku/>
        <w:wordWrap/>
        <w:overflowPunct/>
        <w:topLinePunct w:val="0"/>
        <w:autoSpaceDE/>
        <w:autoSpaceDN/>
        <w:bidi w:val="0"/>
        <w:adjustRightInd/>
        <w:snapToGrid/>
        <w:spacing w:line="572" w:lineRule="exact"/>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color w:val="auto"/>
          <w:sz w:val="32"/>
          <w:szCs w:val="32"/>
          <w:highlight w:val="none"/>
        </w:rPr>
        <w:t>公务用车运行维护费</w:t>
      </w:r>
      <w:r>
        <w:rPr>
          <w:rFonts w:hint="default" w:ascii="Times New Roman" w:hAnsi="Times New Roman" w:eastAsia="仿宋_GB2312" w:cs="Times New Roman"/>
          <w:color w:val="auto"/>
          <w:sz w:val="32"/>
          <w:szCs w:val="32"/>
          <w:highlight w:val="none"/>
        </w:rPr>
        <w:t>支出</w:t>
      </w:r>
      <w:r>
        <w:rPr>
          <w:rFonts w:hint="default" w:ascii="Times New Roman" w:hAnsi="Times New Roman" w:eastAsia="仿宋_GB2312" w:cs="Times New Roman"/>
          <w:color w:val="auto"/>
          <w:sz w:val="32"/>
          <w:szCs w:val="32"/>
          <w:highlight w:val="none"/>
          <w:lang w:val="en-US" w:eastAsia="zh-CN"/>
        </w:rPr>
        <w:t>1.63</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主要用于</w:t>
      </w:r>
      <w:r>
        <w:rPr>
          <w:rFonts w:hint="default" w:ascii="Times New Roman" w:hAnsi="Times New Roman" w:eastAsia="仿宋_GB2312" w:cs="Times New Roman"/>
          <w:color w:val="auto"/>
          <w:sz w:val="32"/>
          <w:szCs w:val="32"/>
          <w:highlight w:val="none"/>
          <w:lang w:eastAsia="zh-CN"/>
        </w:rPr>
        <w:t>中心公务用车加油、维修及保险费用</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公务用车购置及运行费支出决算数</w:t>
      </w:r>
      <w:r>
        <w:rPr>
          <w:rFonts w:hint="default" w:ascii="Times New Roman" w:hAnsi="Times New Roman" w:eastAsia="仿宋_GB2312" w:cs="Times New Roman"/>
          <w:color w:val="auto"/>
          <w:sz w:val="32"/>
          <w:szCs w:val="32"/>
          <w:highlight w:val="none"/>
        </w:rPr>
        <w:t>比预算数减少</w:t>
      </w:r>
      <w:r>
        <w:rPr>
          <w:rFonts w:hint="default" w:ascii="Times New Roman" w:hAnsi="Times New Roman" w:eastAsia="仿宋_GB2312" w:cs="Times New Roman"/>
          <w:color w:val="auto"/>
          <w:sz w:val="32"/>
          <w:szCs w:val="32"/>
          <w:highlight w:val="none"/>
          <w:lang w:val="en-US" w:eastAsia="zh-CN"/>
        </w:rPr>
        <w:t>0.02</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下降</w:t>
      </w:r>
      <w:r>
        <w:rPr>
          <w:rFonts w:hint="default" w:ascii="Times New Roman" w:hAnsi="Times New Roman" w:eastAsia="仿宋_GB2312" w:cs="Times New Roman"/>
          <w:color w:val="auto"/>
          <w:sz w:val="32"/>
          <w:szCs w:val="32"/>
          <w:highlight w:val="none"/>
          <w:lang w:val="en-US" w:eastAsia="zh-CN"/>
        </w:rPr>
        <w:t>1.21</w:t>
      </w:r>
      <w:r>
        <w:rPr>
          <w:rFonts w:hint="default" w:ascii="Times New Roman" w:hAnsi="Times New Roman" w:eastAsia="仿宋_GB2312" w:cs="Times New Roman"/>
          <w:color w:val="auto"/>
          <w:sz w:val="32"/>
          <w:szCs w:val="32"/>
          <w:highlight w:val="none"/>
        </w:rPr>
        <w:t>%。主要原因是</w:t>
      </w:r>
      <w:r>
        <w:rPr>
          <w:rFonts w:hint="default" w:ascii="Times New Roman" w:hAnsi="Times New Roman" w:eastAsia="仿宋_GB2312" w:cs="Times New Roman"/>
          <w:color w:val="auto"/>
          <w:sz w:val="32"/>
          <w:szCs w:val="32"/>
          <w:highlight w:val="none"/>
          <w:lang w:eastAsia="zh-CN"/>
        </w:rPr>
        <w:t>严格按照工作需要支出三公经费</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3"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color w:val="auto"/>
          <w:sz w:val="32"/>
          <w:szCs w:val="32"/>
          <w:highlight w:val="none"/>
        </w:rPr>
        <w:t>3.公务接待费支出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其中</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72" w:lineRule="exact"/>
        <w:ind w:firstLine="643"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color w:val="auto"/>
          <w:sz w:val="32"/>
          <w:szCs w:val="32"/>
          <w:highlight w:val="none"/>
        </w:rPr>
        <w:t>国内接待费</w:t>
      </w:r>
      <w:r>
        <w:rPr>
          <w:rFonts w:hint="default" w:ascii="Times New Roman" w:hAnsi="Times New Roman" w:eastAsia="仿宋_GB2312" w:cs="Times New Roman"/>
          <w:color w:val="auto"/>
          <w:sz w:val="32"/>
          <w:szCs w:val="32"/>
          <w:highlight w:val="none"/>
        </w:rPr>
        <w:t>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国内公务接待</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批次</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接待</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人次</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国（境）外接待费支出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国（境）外公务接待</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批次</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接待</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人次。</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公务接待费支出决算数比预算数</w:t>
      </w:r>
      <w:r>
        <w:rPr>
          <w:rFonts w:hint="default" w:ascii="Times New Roman" w:hAnsi="Times New Roman" w:eastAsia="仿宋_GB2312" w:cs="Times New Roman"/>
          <w:color w:val="auto"/>
          <w:sz w:val="32"/>
          <w:szCs w:val="32"/>
          <w:highlight w:val="none"/>
          <w:lang w:eastAsia="zh-CN"/>
        </w:rPr>
        <w:t>持平</w:t>
      </w:r>
      <w:r>
        <w:rPr>
          <w:rFonts w:hint="default" w:ascii="Times New Roman" w:hAnsi="Times New Roman" w:eastAsia="仿宋_GB2312" w:cs="Times New Roman"/>
          <w:color w:val="auto"/>
          <w:sz w:val="32"/>
          <w:szCs w:val="32"/>
          <w:highlight w:val="none"/>
        </w:rPr>
        <w:t>。主要原因是</w:t>
      </w:r>
      <w:r>
        <w:rPr>
          <w:rFonts w:hint="default" w:ascii="Times New Roman" w:hAnsi="Times New Roman" w:eastAsia="仿宋_GB2312" w:cs="Times New Roman"/>
          <w:color w:val="auto"/>
          <w:sz w:val="32"/>
          <w:szCs w:val="32"/>
          <w:highlight w:val="none"/>
          <w:lang w:eastAsia="zh-CN"/>
        </w:rPr>
        <w:t>中心无</w:t>
      </w:r>
      <w:r>
        <w:rPr>
          <w:rFonts w:hint="default" w:ascii="Times New Roman" w:hAnsi="Times New Roman" w:eastAsia="仿宋_GB2312" w:cs="Times New Roman"/>
          <w:color w:val="auto"/>
          <w:sz w:val="32"/>
          <w:szCs w:val="32"/>
          <w:highlight w:val="none"/>
        </w:rPr>
        <w:t>公务接待</w:t>
      </w:r>
      <w:r>
        <w:rPr>
          <w:rFonts w:hint="default" w:ascii="Times New Roman" w:hAnsi="Times New Roman" w:eastAsia="仿宋_GB2312" w:cs="Times New Roman"/>
          <w:color w:val="auto"/>
          <w:sz w:val="32"/>
          <w:szCs w:val="32"/>
          <w:highlight w:val="none"/>
          <w:lang w:eastAsia="zh-CN"/>
        </w:rPr>
        <w:t>相关业务</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十、预算绩效情况说明</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b w:val="0"/>
          <w:bCs/>
          <w:color w:val="auto"/>
          <w:sz w:val="32"/>
          <w:szCs w:val="32"/>
          <w:highlight w:val="none"/>
        </w:rPr>
      </w:pPr>
      <w:r>
        <w:rPr>
          <w:rFonts w:hint="default" w:ascii="Times New Roman" w:hAnsi="Times New Roman" w:eastAsia="楷体" w:cs="Times New Roman"/>
          <w:b w:val="0"/>
          <w:bCs/>
          <w:color w:val="auto"/>
          <w:sz w:val="32"/>
          <w:szCs w:val="32"/>
          <w:highlight w:val="none"/>
          <w:lang w:eastAsia="zh-CN"/>
        </w:rPr>
        <w:t>（一）</w:t>
      </w:r>
      <w:r>
        <w:rPr>
          <w:rFonts w:hint="default" w:ascii="Times New Roman" w:hAnsi="Times New Roman" w:eastAsia="楷体" w:cs="Times New Roman"/>
          <w:b w:val="0"/>
          <w:bCs/>
          <w:color w:val="auto"/>
          <w:sz w:val="32"/>
          <w:szCs w:val="32"/>
          <w:highlight w:val="none"/>
        </w:rPr>
        <w:t>绩效管理工作开展情况。</w:t>
      </w:r>
    </w:p>
    <w:p>
      <w:pPr>
        <w:keepNext w:val="0"/>
        <w:keepLines w:val="0"/>
        <w:pageBreakBefore w:val="0"/>
        <w:widowControl w:val="0"/>
        <w:suppressLineNumbers w:val="0"/>
        <w:kinsoku/>
        <w:wordWrap/>
        <w:overflowPunct/>
        <w:topLinePunct w:val="0"/>
        <w:autoSpaceDE/>
        <w:autoSpaceDN/>
        <w:bidi w:val="0"/>
        <w:adjustRightInd/>
        <w:snapToGrid/>
        <w:spacing w:line="572"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根据预算管理要求</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我单位组织对</w:t>
      </w:r>
      <w:r>
        <w:rPr>
          <w:rFonts w:hint="default" w:ascii="Times New Roman" w:hAnsi="Times New Roman" w:eastAsia="仿宋_GB2312" w:cs="Times New Roman"/>
          <w:color w:val="auto"/>
          <w:sz w:val="32"/>
          <w:szCs w:val="32"/>
          <w:highlight w:val="none"/>
          <w:lang w:eastAsia="zh-CN"/>
        </w:rPr>
        <w:t>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年度</w:t>
      </w:r>
      <w:r>
        <w:rPr>
          <w:rFonts w:hint="default" w:ascii="Times New Roman" w:hAnsi="Times New Roman" w:eastAsia="仿宋_GB2312" w:cs="Times New Roman"/>
          <w:color w:val="auto"/>
          <w:sz w:val="32"/>
          <w:szCs w:val="32"/>
          <w:highlight w:val="none"/>
        </w:rPr>
        <w:t>一般公共预算项目支出全面开展绩效自评。</w:t>
      </w:r>
      <w:r>
        <w:rPr>
          <w:rFonts w:hint="default" w:ascii="Times New Roman" w:hAnsi="Times New Roman" w:eastAsia="仿宋_GB2312" w:cs="Times New Roman"/>
          <w:color w:val="auto"/>
          <w:kern w:val="2"/>
          <w:sz w:val="32"/>
          <w:szCs w:val="32"/>
          <w:highlight w:val="none"/>
          <w:lang w:val="en-US" w:eastAsia="zh-CN" w:bidi="ar"/>
        </w:rPr>
        <w:t>其中自评项目3个</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共涉及资金316.74万元</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占一般公共预算项目支出总额的71.23%。组织对2022年度征地拆迁补偿成本一个政府性基金预算项目开展绩效自评</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共涉及资金18998.06万元</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占政府性基金预算项目支出总额的100%。组织对2022年度0个国有资本经营预算项目开展绩效自评</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共涉及资金0万元</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占国有资本经营预算项目支出总额的0%（无此类项目）。</w:t>
      </w:r>
    </w:p>
    <w:p>
      <w:pPr>
        <w:keepNext w:val="0"/>
        <w:keepLines w:val="0"/>
        <w:pageBreakBefore w:val="0"/>
        <w:widowControl/>
        <w:kinsoku/>
        <w:wordWrap/>
        <w:overflowPunct/>
        <w:topLinePunct w:val="0"/>
        <w:autoSpaceDE/>
        <w:autoSpaceDN/>
        <w:bidi w:val="0"/>
        <w:adjustRightInd/>
        <w:snapToGrid/>
        <w:spacing w:line="572" w:lineRule="exact"/>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共组织对“土地储备整理交易业务管理”“征地拆迁补偿成本”等</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个项目</w:t>
      </w:r>
      <w:r>
        <w:rPr>
          <w:rFonts w:hint="default" w:ascii="Times New Roman" w:hAnsi="Times New Roman" w:eastAsia="仿宋_GB2312" w:cs="Times New Roman"/>
          <w:color w:val="auto"/>
          <w:sz w:val="32"/>
          <w:szCs w:val="32"/>
          <w:highlight w:val="none"/>
          <w:lang w:eastAsia="zh-CN"/>
        </w:rPr>
        <w:t>开展了部门</w:t>
      </w:r>
      <w:r>
        <w:rPr>
          <w:rFonts w:hint="default" w:ascii="Times New Roman" w:hAnsi="Times New Roman" w:eastAsia="仿宋_GB2312" w:cs="Times New Roman"/>
          <w:color w:val="auto"/>
          <w:sz w:val="32"/>
          <w:szCs w:val="32"/>
          <w:highlight w:val="none"/>
        </w:rPr>
        <w:t>评价</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涉及一般公共预算</w:t>
      </w:r>
      <w:r>
        <w:rPr>
          <w:rFonts w:hint="default" w:ascii="Times New Roman" w:hAnsi="Times New Roman" w:eastAsia="仿宋_GB2312" w:cs="Times New Roman"/>
          <w:color w:val="auto"/>
          <w:kern w:val="2"/>
          <w:sz w:val="32"/>
          <w:szCs w:val="32"/>
          <w:highlight w:val="none"/>
          <w:lang w:val="en-US" w:eastAsia="zh-CN" w:bidi="ar"/>
        </w:rPr>
        <w:t>支出316.74万元</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政府性基金预算支出18998.06万元</w:t>
      </w:r>
      <w:r>
        <w:rPr>
          <w:rFonts w:hint="eastAsia" w:ascii="Times New Roman" w:hAnsi="Times New Roman" w:eastAsia="仿宋_GB2312" w:cs="Times New Roman"/>
          <w:color w:val="auto"/>
          <w:kern w:val="2"/>
          <w:sz w:val="32"/>
          <w:szCs w:val="32"/>
          <w:highlight w:val="none"/>
          <w:lang w:val="en-US" w:eastAsia="zh-CN" w:bidi="ar"/>
        </w:rPr>
        <w:t>,</w:t>
      </w:r>
      <w:r>
        <w:rPr>
          <w:rFonts w:hint="default" w:ascii="Times New Roman" w:hAnsi="Times New Roman" w:eastAsia="仿宋_GB2312" w:cs="Times New Roman"/>
          <w:color w:val="auto"/>
          <w:kern w:val="2"/>
          <w:sz w:val="32"/>
          <w:szCs w:val="32"/>
          <w:highlight w:val="none"/>
          <w:lang w:val="en-US" w:eastAsia="zh-CN" w:bidi="ar"/>
        </w:rPr>
        <w:t>国有资本经营预算支出0万元。</w:t>
      </w:r>
      <w:r>
        <w:rPr>
          <w:rFonts w:hint="default" w:ascii="Times New Roman" w:hAnsi="Times New Roman" w:eastAsia="仿宋_GB2312" w:cs="Times New Roman"/>
          <w:color w:val="auto"/>
          <w:sz w:val="32"/>
          <w:szCs w:val="32"/>
          <w:highlight w:val="none"/>
        </w:rPr>
        <w:t>从评价情况来看</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评价良好</w:t>
      </w:r>
      <w:r>
        <w:rPr>
          <w:rFonts w:hint="default" w:ascii="Times New Roman" w:hAnsi="Times New Roman" w:eastAsia="仿宋_GB2312" w:cs="Times New Roman"/>
          <w:color w:val="auto"/>
          <w:sz w:val="32"/>
          <w:szCs w:val="32"/>
          <w:highlight w:val="none"/>
        </w:rPr>
        <w:t>。</w:t>
      </w:r>
    </w:p>
    <w:p>
      <w:pPr>
        <w:keepNext w:val="0"/>
        <w:keepLines w:val="0"/>
        <w:pageBreakBefore w:val="0"/>
        <w:widowControl/>
        <w:kinsoku/>
        <w:wordWrap/>
        <w:overflowPunct/>
        <w:topLinePunct w:val="0"/>
        <w:autoSpaceDE/>
        <w:autoSpaceDN/>
        <w:bidi w:val="0"/>
        <w:adjustRightInd/>
        <w:snapToGrid/>
        <w:spacing w:line="572" w:lineRule="exact"/>
        <w:ind w:firstLine="640" w:firstLineChars="200"/>
        <w:jc w:val="left"/>
        <w:textAlignment w:val="auto"/>
        <w:rPr>
          <w:rFonts w:hint="default" w:ascii="Times New Roman" w:hAnsi="Times New Roman" w:eastAsia="仿宋_GB2312" w:cs="Times New Roman"/>
          <w:color w:val="auto"/>
          <w:sz w:val="32"/>
          <w:szCs w:val="32"/>
          <w:highlight w:val="none"/>
        </w:rPr>
      </w:pPr>
    </w:p>
    <w:p>
      <w:pPr>
        <w:keepNext w:val="0"/>
        <w:keepLines w:val="0"/>
        <w:pageBreakBefore w:val="0"/>
        <w:widowControl/>
        <w:kinsoku/>
        <w:wordWrap/>
        <w:overflowPunct/>
        <w:topLinePunct w:val="0"/>
        <w:autoSpaceDE/>
        <w:autoSpaceDN/>
        <w:bidi w:val="0"/>
        <w:adjustRightInd/>
        <w:snapToGrid/>
        <w:spacing w:line="572" w:lineRule="exact"/>
        <w:ind w:firstLine="640" w:firstLineChars="200"/>
        <w:jc w:val="left"/>
        <w:textAlignment w:val="auto"/>
        <w:rPr>
          <w:rFonts w:hint="default" w:ascii="Times New Roman" w:hAnsi="Times New Roman" w:eastAsia="楷体" w:cs="Times New Roman"/>
          <w:b w:val="0"/>
          <w:bCs/>
          <w:color w:val="auto"/>
          <w:sz w:val="32"/>
          <w:szCs w:val="32"/>
          <w:highlight w:val="none"/>
          <w:lang w:val="en-US" w:eastAsia="zh-CN"/>
        </w:rPr>
      </w:pPr>
      <w:r>
        <w:rPr>
          <w:rFonts w:hint="default" w:ascii="Times New Roman" w:hAnsi="Times New Roman" w:eastAsia="楷体" w:cs="Times New Roman"/>
          <w:b w:val="0"/>
          <w:bCs/>
          <w:color w:val="auto"/>
          <w:sz w:val="32"/>
          <w:szCs w:val="32"/>
          <w:highlight w:val="none"/>
          <w:lang w:eastAsia="zh-CN"/>
        </w:rPr>
        <w:t>（二）</w:t>
      </w:r>
      <w:r>
        <w:rPr>
          <w:rFonts w:hint="default" w:ascii="Times New Roman" w:hAnsi="Times New Roman" w:eastAsia="楷体" w:cs="Times New Roman"/>
          <w:b w:val="0"/>
          <w:bCs/>
          <w:color w:val="auto"/>
          <w:sz w:val="32"/>
          <w:szCs w:val="32"/>
          <w:highlight w:val="none"/>
        </w:rPr>
        <w:t>部门决算中项目绩效自评结果。</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我中心在部门决算中反映</w:t>
      </w:r>
      <w:r>
        <w:rPr>
          <w:rFonts w:hint="default" w:ascii="Times New Roman" w:hAnsi="Times New Roman" w:eastAsia="仿宋_GB2312" w:cs="Times New Roman"/>
          <w:color w:val="auto"/>
          <w:sz w:val="32"/>
          <w:szCs w:val="32"/>
          <w:highlight w:val="none"/>
        </w:rPr>
        <w:t>“土地储备整理交易业务管理”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“征地拆迁补偿成本”等</w:t>
      </w:r>
      <w:r>
        <w:rPr>
          <w:rFonts w:hint="default" w:ascii="Times New Roman" w:hAnsi="Times New Roman" w:eastAsia="仿宋_GB2312" w:cs="Times New Roman"/>
          <w:color w:val="auto"/>
          <w:sz w:val="32"/>
          <w:szCs w:val="32"/>
          <w:highlight w:val="none"/>
          <w:lang w:val="en-US" w:eastAsia="zh-CN"/>
        </w:rPr>
        <w:t>4个项目绩效自评结果</w:t>
      </w:r>
      <w:r>
        <w:rPr>
          <w:rFonts w:hint="default" w:ascii="Times New Roman" w:hAnsi="Times New Roman" w:eastAsia="仿宋_GB2312" w:cs="Times New Roman"/>
          <w:color w:val="FF0000"/>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三亚市海棠区风塘村与南田农场旱地改造水田土地整治项目</w:t>
      </w:r>
      <w:r>
        <w:rPr>
          <w:rFonts w:hint="default" w:ascii="Times New Roman" w:hAnsi="Times New Roman" w:eastAsia="仿宋_GB2312" w:cs="Times New Roman"/>
          <w:color w:val="auto"/>
          <w:sz w:val="32"/>
          <w:szCs w:val="32"/>
          <w:highlight w:val="none"/>
          <w:lang w:val="en-US" w:eastAsia="zh-CN"/>
        </w:rPr>
        <w:t>绩效自评表</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项目绩效自评得分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eastAsia="zh-CN"/>
        </w:rPr>
        <w:t>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w:t>
      </w:r>
      <w:r>
        <w:rPr>
          <w:rFonts w:hint="eastAsia" w:ascii="Times New Roman" w:hAnsi="Times New Roman" w:eastAsia="仿宋_GB2312" w:cs="Times New Roman"/>
          <w:color w:val="auto"/>
          <w:sz w:val="32"/>
          <w:szCs w:val="32"/>
          <w:highlight w:val="none"/>
          <w:lang w:eastAsia="zh-CN"/>
        </w:rPr>
        <w:t>等级：优。</w:t>
      </w:r>
      <w:r>
        <w:rPr>
          <w:rFonts w:hint="default" w:ascii="Times New Roman" w:hAnsi="Times New Roman" w:eastAsia="仿宋_GB2312" w:cs="Times New Roman"/>
          <w:color w:val="auto"/>
          <w:sz w:val="32"/>
          <w:szCs w:val="32"/>
          <w:highlight w:val="none"/>
          <w:lang w:eastAsia="zh-CN"/>
        </w:rPr>
        <w:t>全年预算数为</w:t>
      </w:r>
      <w:r>
        <w:rPr>
          <w:rFonts w:hint="default" w:ascii="Times New Roman" w:hAnsi="Times New Roman" w:eastAsia="仿宋_GB2312" w:cs="Times New Roman"/>
          <w:color w:val="auto"/>
          <w:sz w:val="32"/>
          <w:szCs w:val="32"/>
          <w:highlight w:val="none"/>
          <w:lang w:val="en-US" w:eastAsia="zh-CN"/>
        </w:rPr>
        <w:t>123.62</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执行数为</w:t>
      </w:r>
      <w:r>
        <w:rPr>
          <w:rFonts w:hint="default" w:ascii="Times New Roman" w:hAnsi="Times New Roman" w:eastAsia="仿宋_GB2312" w:cs="Times New Roman"/>
          <w:color w:val="auto"/>
          <w:sz w:val="32"/>
          <w:szCs w:val="32"/>
          <w:highlight w:val="none"/>
          <w:lang w:val="en-US" w:eastAsia="zh-CN"/>
        </w:rPr>
        <w:t>123.62</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完成预算的</w:t>
      </w:r>
      <w:r>
        <w:rPr>
          <w:rFonts w:hint="default" w:ascii="Times New Roman" w:hAnsi="Times New Roman" w:eastAsia="仿宋_GB2312" w:cs="Times New Roman"/>
          <w:color w:val="auto"/>
          <w:sz w:val="32"/>
          <w:szCs w:val="32"/>
          <w:highlight w:val="none"/>
          <w:lang w:val="en-US" w:eastAsia="zh-CN"/>
        </w:rPr>
        <w:t>100%。</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三亚市海棠区风塘村与南田农场旱地改造水田土地整治项目绩效自评报告</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根据设定的绩效目标</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项目绩效自评得分为</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eastAsia="zh-CN"/>
        </w:rPr>
        <w:t>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w:t>
      </w:r>
      <w:r>
        <w:rPr>
          <w:rFonts w:hint="eastAsia" w:ascii="Times New Roman" w:hAnsi="Times New Roman" w:eastAsia="仿宋_GB2312" w:cs="Times New Roman"/>
          <w:color w:val="auto"/>
          <w:sz w:val="32"/>
          <w:szCs w:val="32"/>
          <w:highlight w:val="none"/>
          <w:lang w:eastAsia="zh-CN"/>
        </w:rPr>
        <w:t>等级：优。</w:t>
      </w:r>
      <w:r>
        <w:rPr>
          <w:rFonts w:hint="default" w:ascii="Times New Roman" w:hAnsi="Times New Roman" w:eastAsia="仿宋_GB2312" w:cs="Times New Roman"/>
          <w:color w:val="auto"/>
          <w:sz w:val="32"/>
          <w:szCs w:val="32"/>
          <w:highlight w:val="none"/>
          <w:lang w:eastAsia="zh-CN"/>
        </w:rPr>
        <w:t>全年预算数为</w:t>
      </w:r>
      <w:r>
        <w:rPr>
          <w:rFonts w:hint="default" w:ascii="Times New Roman" w:hAnsi="Times New Roman" w:eastAsia="仿宋_GB2312" w:cs="Times New Roman"/>
          <w:color w:val="auto"/>
          <w:sz w:val="32"/>
          <w:szCs w:val="32"/>
          <w:highlight w:val="none"/>
          <w:lang w:val="en-US" w:eastAsia="zh-CN"/>
        </w:rPr>
        <w:t>123.62</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执行数为</w:t>
      </w:r>
      <w:r>
        <w:rPr>
          <w:rFonts w:hint="default" w:ascii="Times New Roman" w:hAnsi="Times New Roman" w:eastAsia="仿宋_GB2312" w:cs="Times New Roman"/>
          <w:color w:val="auto"/>
          <w:sz w:val="32"/>
          <w:szCs w:val="32"/>
          <w:highlight w:val="none"/>
          <w:lang w:val="en-US" w:eastAsia="zh-CN"/>
        </w:rPr>
        <w:t>123.62</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完成预算的</w:t>
      </w:r>
      <w:r>
        <w:rPr>
          <w:rFonts w:hint="default" w:ascii="Times New Roman" w:hAnsi="Times New Roman" w:eastAsia="仿宋_GB2312" w:cs="Times New Roman"/>
          <w:color w:val="auto"/>
          <w:sz w:val="32"/>
          <w:szCs w:val="32"/>
          <w:highlight w:val="none"/>
          <w:lang w:val="en-US" w:eastAsia="zh-CN"/>
        </w:rPr>
        <w:t>100%。项目绩效目标完成情况</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项目的主要目标为支付三亚市海棠区风塘村与南田农场旱地改造水田土地整治项目审计后剩余工程款及工程其他款</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已全部支付完成。</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事业运行</w:t>
      </w:r>
      <w:r>
        <w:rPr>
          <w:rFonts w:hint="default" w:ascii="Times New Roman" w:hAnsi="Times New Roman" w:eastAsia="仿宋_GB2312" w:cs="Times New Roman"/>
          <w:color w:val="auto"/>
          <w:sz w:val="32"/>
          <w:szCs w:val="32"/>
          <w:highlight w:val="none"/>
          <w:lang w:val="en-US" w:eastAsia="zh-CN"/>
        </w:rPr>
        <w:t>项目绩效自评表</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根据年初设定的绩效目标</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项目绩效自评得分为79.28分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w:t>
      </w:r>
      <w:r>
        <w:rPr>
          <w:rFonts w:hint="eastAsia" w:ascii="Times New Roman" w:hAnsi="Times New Roman" w:eastAsia="仿宋_GB2312" w:cs="Times New Roman"/>
          <w:color w:val="auto"/>
          <w:sz w:val="32"/>
          <w:szCs w:val="32"/>
          <w:highlight w:val="none"/>
          <w:lang w:eastAsia="zh-CN"/>
        </w:rPr>
        <w:t>等级：良。</w:t>
      </w:r>
      <w:r>
        <w:rPr>
          <w:rFonts w:hint="default" w:ascii="Times New Roman" w:hAnsi="Times New Roman" w:eastAsia="仿宋_GB2312" w:cs="Times New Roman"/>
          <w:color w:val="auto"/>
          <w:sz w:val="32"/>
          <w:szCs w:val="32"/>
          <w:highlight w:val="none"/>
          <w:lang w:eastAsia="zh-CN"/>
        </w:rPr>
        <w:t>全年预算数为</w:t>
      </w: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执行数为</w:t>
      </w:r>
      <w:r>
        <w:rPr>
          <w:rFonts w:hint="default" w:ascii="Times New Roman" w:hAnsi="Times New Roman" w:eastAsia="仿宋_GB2312" w:cs="Times New Roman"/>
          <w:color w:val="auto"/>
          <w:sz w:val="32"/>
          <w:szCs w:val="32"/>
          <w:highlight w:val="none"/>
          <w:lang w:val="en-US" w:eastAsia="zh-CN"/>
        </w:rPr>
        <w:t>5.1</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完成预算的</w:t>
      </w:r>
      <w:r>
        <w:rPr>
          <w:rFonts w:hint="default" w:ascii="Times New Roman" w:hAnsi="Times New Roman" w:eastAsia="仿宋_GB2312" w:cs="Times New Roman"/>
          <w:color w:val="auto"/>
          <w:sz w:val="32"/>
          <w:szCs w:val="32"/>
          <w:highlight w:val="none"/>
          <w:lang w:val="en-US" w:eastAsia="zh-CN"/>
        </w:rPr>
        <w:t>63.72%。</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事业运行项目绩效自评报告</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根据年初设定的绩效目标</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项目绩效自评得分为79.28分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w:t>
      </w:r>
      <w:r>
        <w:rPr>
          <w:rFonts w:hint="eastAsia" w:ascii="Times New Roman" w:hAnsi="Times New Roman" w:eastAsia="仿宋_GB2312" w:cs="Times New Roman"/>
          <w:color w:val="auto"/>
          <w:sz w:val="32"/>
          <w:szCs w:val="32"/>
          <w:highlight w:val="none"/>
          <w:lang w:eastAsia="zh-CN"/>
        </w:rPr>
        <w:t>等级：良。</w:t>
      </w:r>
      <w:r>
        <w:rPr>
          <w:rFonts w:hint="default" w:ascii="Times New Roman" w:hAnsi="Times New Roman" w:eastAsia="仿宋_GB2312" w:cs="Times New Roman"/>
          <w:color w:val="auto"/>
          <w:sz w:val="32"/>
          <w:szCs w:val="32"/>
          <w:highlight w:val="none"/>
          <w:lang w:eastAsia="zh-CN"/>
        </w:rPr>
        <w:t>全年预算数为</w:t>
      </w: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执行数为</w:t>
      </w:r>
      <w:r>
        <w:rPr>
          <w:rFonts w:hint="default" w:ascii="Times New Roman" w:hAnsi="Times New Roman" w:eastAsia="仿宋_GB2312" w:cs="Times New Roman"/>
          <w:color w:val="auto"/>
          <w:sz w:val="32"/>
          <w:szCs w:val="32"/>
          <w:highlight w:val="none"/>
          <w:lang w:val="en-US" w:eastAsia="zh-CN"/>
        </w:rPr>
        <w:t>5.1</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完成预算的</w:t>
      </w:r>
      <w:r>
        <w:rPr>
          <w:rFonts w:hint="default" w:ascii="Times New Roman" w:hAnsi="Times New Roman" w:eastAsia="仿宋_GB2312" w:cs="Times New Roman"/>
          <w:color w:val="auto"/>
          <w:sz w:val="32"/>
          <w:szCs w:val="32"/>
          <w:highlight w:val="none"/>
          <w:lang w:val="en-US" w:eastAsia="zh-CN"/>
        </w:rPr>
        <w:t>63.72%。项目绩效目标完成情况</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确保2022年单位正常运行</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开展各项工作。维护日常办公秩序</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提高办公效率。创造文明、整洁的办公环境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树立良好的形象。</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征地拆迁补偿成本</w:t>
      </w:r>
      <w:r>
        <w:rPr>
          <w:rFonts w:hint="default" w:ascii="Times New Roman" w:hAnsi="Times New Roman" w:eastAsia="仿宋_GB2312" w:cs="Times New Roman"/>
          <w:color w:val="auto"/>
          <w:sz w:val="32"/>
          <w:szCs w:val="32"/>
          <w:highlight w:val="none"/>
          <w:lang w:val="en-US" w:eastAsia="zh-CN"/>
        </w:rPr>
        <w:t>项目绩效自评表</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根据设定的绩效目标</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项目绩效自评得分为</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eastAsia="zh-CN"/>
        </w:rPr>
        <w:t>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w:t>
      </w:r>
      <w:r>
        <w:rPr>
          <w:rFonts w:hint="eastAsia" w:ascii="Times New Roman" w:hAnsi="Times New Roman" w:eastAsia="仿宋_GB2312" w:cs="Times New Roman"/>
          <w:color w:val="auto"/>
          <w:sz w:val="32"/>
          <w:szCs w:val="32"/>
          <w:highlight w:val="none"/>
          <w:lang w:eastAsia="zh-CN"/>
        </w:rPr>
        <w:t>等级：优。</w:t>
      </w:r>
      <w:r>
        <w:rPr>
          <w:rFonts w:hint="default" w:ascii="Times New Roman" w:hAnsi="Times New Roman" w:eastAsia="仿宋_GB2312" w:cs="Times New Roman"/>
          <w:color w:val="auto"/>
          <w:sz w:val="32"/>
          <w:szCs w:val="32"/>
          <w:highlight w:val="none"/>
          <w:lang w:eastAsia="zh-CN"/>
        </w:rPr>
        <w:t>全年预算数为18998.06万元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执行数为18998.06万元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完成预算的</w:t>
      </w:r>
      <w:r>
        <w:rPr>
          <w:rFonts w:hint="default" w:ascii="Times New Roman" w:hAnsi="Times New Roman" w:eastAsia="仿宋_GB2312" w:cs="Times New Roman"/>
          <w:color w:val="auto"/>
          <w:sz w:val="32"/>
          <w:szCs w:val="32"/>
          <w:highlight w:val="none"/>
          <w:lang w:val="en-US" w:eastAsia="zh-CN"/>
        </w:rPr>
        <w:t>100%。</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征地拆迁补偿成本项目绩效自评报告</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根据设定的绩效目标</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项目绩效自评得分为</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eastAsia="zh-CN"/>
        </w:rPr>
        <w:t>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w:t>
      </w:r>
      <w:r>
        <w:rPr>
          <w:rFonts w:hint="eastAsia" w:ascii="Times New Roman" w:hAnsi="Times New Roman" w:eastAsia="仿宋_GB2312" w:cs="Times New Roman"/>
          <w:color w:val="auto"/>
          <w:sz w:val="32"/>
          <w:szCs w:val="32"/>
          <w:highlight w:val="none"/>
          <w:lang w:eastAsia="zh-CN"/>
        </w:rPr>
        <w:t>等级：优。</w:t>
      </w:r>
      <w:r>
        <w:rPr>
          <w:rFonts w:hint="default" w:ascii="Times New Roman" w:hAnsi="Times New Roman" w:eastAsia="仿宋_GB2312" w:cs="Times New Roman"/>
          <w:color w:val="auto"/>
          <w:sz w:val="32"/>
          <w:szCs w:val="32"/>
          <w:highlight w:val="none"/>
          <w:lang w:eastAsia="zh-CN"/>
        </w:rPr>
        <w:t>全年预算数为18998.06万元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执行数为18998.06万元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完成预算的</w:t>
      </w:r>
      <w:r>
        <w:rPr>
          <w:rFonts w:hint="default" w:ascii="Times New Roman" w:hAnsi="Times New Roman" w:eastAsia="仿宋_GB2312" w:cs="Times New Roman"/>
          <w:color w:val="auto"/>
          <w:sz w:val="32"/>
          <w:szCs w:val="32"/>
          <w:highlight w:val="none"/>
          <w:lang w:val="en-US" w:eastAsia="zh-CN"/>
        </w:rPr>
        <w:t>100%。项目绩效目标完成情况</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资金主要用于南雅项目新增耕地指标收储合同</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一次性支付收储新增耕地指标</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5等水田面积478.1538亩、8等旱地面积201.1866亩的费用</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已完成收储</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4.土地储备整理交易业务管理项目绩效自评表</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根据年初设定的绩效目标</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项目绩效自评得分为</w:t>
      </w:r>
      <w:r>
        <w:rPr>
          <w:rFonts w:hint="default" w:ascii="Times New Roman" w:hAnsi="Times New Roman" w:eastAsia="仿宋_GB2312" w:cs="Times New Roman"/>
          <w:color w:val="auto"/>
          <w:sz w:val="32"/>
          <w:szCs w:val="32"/>
          <w:highlight w:val="none"/>
          <w:lang w:val="en-US" w:eastAsia="zh-CN"/>
        </w:rPr>
        <w:t>97.23</w:t>
      </w:r>
      <w:r>
        <w:rPr>
          <w:rFonts w:hint="default" w:ascii="Times New Roman" w:hAnsi="Times New Roman" w:eastAsia="仿宋_GB2312" w:cs="Times New Roman"/>
          <w:color w:val="auto"/>
          <w:sz w:val="32"/>
          <w:szCs w:val="32"/>
          <w:highlight w:val="none"/>
          <w:lang w:eastAsia="zh-CN"/>
        </w:rPr>
        <w:t>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w:t>
      </w:r>
      <w:r>
        <w:rPr>
          <w:rFonts w:hint="eastAsia" w:ascii="Times New Roman" w:hAnsi="Times New Roman" w:eastAsia="仿宋_GB2312" w:cs="Times New Roman"/>
          <w:color w:val="auto"/>
          <w:sz w:val="32"/>
          <w:szCs w:val="32"/>
          <w:highlight w:val="none"/>
          <w:lang w:eastAsia="zh-CN"/>
        </w:rPr>
        <w:t>等级：优。</w:t>
      </w:r>
      <w:r>
        <w:rPr>
          <w:rFonts w:hint="default" w:ascii="Times New Roman" w:hAnsi="Times New Roman" w:eastAsia="仿宋_GB2312" w:cs="Times New Roman"/>
          <w:color w:val="auto"/>
          <w:sz w:val="32"/>
          <w:szCs w:val="32"/>
          <w:highlight w:val="none"/>
          <w:lang w:eastAsia="zh-CN"/>
        </w:rPr>
        <w:t>全年预算数为</w:t>
      </w:r>
      <w:r>
        <w:rPr>
          <w:rFonts w:hint="default" w:ascii="Times New Roman" w:hAnsi="Times New Roman" w:eastAsia="仿宋_GB2312" w:cs="Times New Roman"/>
          <w:color w:val="auto"/>
          <w:sz w:val="32"/>
          <w:szCs w:val="32"/>
          <w:highlight w:val="none"/>
          <w:lang w:val="en-US" w:eastAsia="zh-CN"/>
        </w:rPr>
        <w:t>260</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执行数为</w:t>
      </w:r>
      <w:r>
        <w:rPr>
          <w:rFonts w:hint="default" w:ascii="Times New Roman" w:hAnsi="Times New Roman" w:eastAsia="仿宋_GB2312" w:cs="Times New Roman"/>
          <w:color w:val="auto"/>
          <w:sz w:val="32"/>
          <w:szCs w:val="32"/>
          <w:highlight w:val="none"/>
          <w:lang w:val="en-US" w:eastAsia="zh-CN"/>
        </w:rPr>
        <w:t>188.02</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完成预算的72.32</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土地储备整理交易业务管理项目</w:t>
      </w:r>
      <w:r>
        <w:rPr>
          <w:rFonts w:hint="default" w:ascii="Times New Roman" w:hAnsi="Times New Roman" w:eastAsia="仿宋_GB2312" w:cs="Times New Roman"/>
          <w:color w:val="auto"/>
          <w:sz w:val="32"/>
          <w:szCs w:val="32"/>
          <w:highlight w:val="none"/>
          <w:lang w:eastAsia="zh-CN"/>
        </w:rPr>
        <w:t>绩效自评报告</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根据年初设定的绩效目标</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项目绩效自评得分为</w:t>
      </w:r>
      <w:r>
        <w:rPr>
          <w:rFonts w:hint="default" w:ascii="Times New Roman" w:hAnsi="Times New Roman" w:eastAsia="仿宋_GB2312" w:cs="Times New Roman"/>
          <w:color w:val="auto"/>
          <w:sz w:val="32"/>
          <w:szCs w:val="32"/>
          <w:highlight w:val="none"/>
          <w:lang w:val="en-US" w:eastAsia="zh-CN"/>
        </w:rPr>
        <w:t>97.23</w:t>
      </w:r>
      <w:r>
        <w:rPr>
          <w:rFonts w:hint="default" w:ascii="Times New Roman" w:hAnsi="Times New Roman" w:eastAsia="仿宋_GB2312" w:cs="Times New Roman"/>
          <w:color w:val="auto"/>
          <w:sz w:val="32"/>
          <w:szCs w:val="32"/>
          <w:highlight w:val="none"/>
          <w:lang w:eastAsia="zh-CN"/>
        </w:rPr>
        <w:t>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项目绩效自评</w:t>
      </w:r>
      <w:r>
        <w:rPr>
          <w:rFonts w:hint="eastAsia" w:ascii="Times New Roman" w:hAnsi="Times New Roman" w:eastAsia="仿宋_GB2312" w:cs="Times New Roman"/>
          <w:color w:val="auto"/>
          <w:sz w:val="32"/>
          <w:szCs w:val="32"/>
          <w:highlight w:val="none"/>
          <w:lang w:eastAsia="zh-CN"/>
        </w:rPr>
        <w:t>等级：优。</w:t>
      </w:r>
      <w:r>
        <w:rPr>
          <w:rFonts w:hint="default" w:ascii="Times New Roman" w:hAnsi="Times New Roman" w:eastAsia="仿宋_GB2312" w:cs="Times New Roman"/>
          <w:color w:val="auto"/>
          <w:sz w:val="32"/>
          <w:szCs w:val="32"/>
          <w:highlight w:val="none"/>
          <w:lang w:eastAsia="zh-CN"/>
        </w:rPr>
        <w:t>全年预算数为</w:t>
      </w:r>
      <w:r>
        <w:rPr>
          <w:rFonts w:hint="default" w:ascii="Times New Roman" w:hAnsi="Times New Roman" w:eastAsia="仿宋_GB2312" w:cs="Times New Roman"/>
          <w:color w:val="auto"/>
          <w:sz w:val="32"/>
          <w:szCs w:val="32"/>
          <w:highlight w:val="none"/>
          <w:lang w:val="en-US" w:eastAsia="zh-CN"/>
        </w:rPr>
        <w:t>260</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执行数为</w:t>
      </w:r>
      <w:r>
        <w:rPr>
          <w:rFonts w:hint="default" w:ascii="Times New Roman" w:hAnsi="Times New Roman" w:eastAsia="仿宋_GB2312" w:cs="Times New Roman"/>
          <w:color w:val="auto"/>
          <w:sz w:val="32"/>
          <w:szCs w:val="32"/>
          <w:highlight w:val="none"/>
          <w:lang w:val="en-US" w:eastAsia="zh-CN"/>
        </w:rPr>
        <w:t>188.02</w:t>
      </w:r>
      <w:r>
        <w:rPr>
          <w:rFonts w:hint="default" w:ascii="Times New Roman" w:hAnsi="Times New Roman" w:eastAsia="仿宋_GB2312" w:cs="Times New Roman"/>
          <w:color w:val="auto"/>
          <w:sz w:val="32"/>
          <w:szCs w:val="32"/>
          <w:highlight w:val="none"/>
          <w:lang w:eastAsia="zh-CN"/>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完成预算的72.32</w:t>
      </w:r>
      <w:r>
        <w:rPr>
          <w:rFonts w:hint="default" w:ascii="Times New Roman" w:hAnsi="Times New Roman" w:eastAsia="仿宋_GB2312" w:cs="Times New Roman"/>
          <w:color w:val="auto"/>
          <w:sz w:val="32"/>
          <w:szCs w:val="32"/>
          <w:highlight w:val="none"/>
          <w:lang w:val="en-US" w:eastAsia="zh-CN"/>
        </w:rPr>
        <w:t>%。项目绩效目标完成情况</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保障</w:t>
      </w:r>
      <w:r>
        <w:rPr>
          <w:rFonts w:hint="default" w:ascii="Times New Roman" w:hAnsi="Times New Roman" w:eastAsia="仿宋_GB2312" w:cs="Times New Roman"/>
          <w:color w:val="auto"/>
          <w:sz w:val="32"/>
          <w:szCs w:val="32"/>
          <w:highlight w:val="none"/>
          <w:lang w:val="en-US" w:eastAsia="zh-CN"/>
        </w:rPr>
        <w:t>2022年</w:t>
      </w:r>
      <w:r>
        <w:rPr>
          <w:rFonts w:hint="default" w:ascii="Times New Roman" w:hAnsi="Times New Roman" w:eastAsia="仿宋_GB2312" w:cs="Times New Roman"/>
          <w:color w:val="auto"/>
          <w:sz w:val="32"/>
          <w:szCs w:val="32"/>
          <w:highlight w:val="none"/>
          <w:lang w:eastAsia="zh-CN"/>
        </w:rPr>
        <w:t>中心各项日常工作顺利开展</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确保当前中心承担的土地整治项目后续管护工作顺利实施</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灌溉与排水系统、田间道路系统保持完整能够正常使用长期发挥效益</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补充耕地不撂荒不改变土地类别</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b w:val="0"/>
          <w:bCs/>
          <w:color w:val="auto"/>
          <w:sz w:val="32"/>
          <w:szCs w:val="32"/>
          <w:highlight w:val="none"/>
        </w:rPr>
      </w:pPr>
      <w:r>
        <w:rPr>
          <w:rFonts w:hint="default" w:ascii="Times New Roman" w:hAnsi="Times New Roman" w:eastAsia="楷体" w:cs="Times New Roman"/>
          <w:b w:val="0"/>
          <w:bCs/>
          <w:color w:val="auto"/>
          <w:sz w:val="32"/>
          <w:szCs w:val="32"/>
          <w:highlight w:val="none"/>
          <w:lang w:eastAsia="zh-CN"/>
        </w:rPr>
        <w:t>（三）</w:t>
      </w:r>
      <w:r>
        <w:rPr>
          <w:rFonts w:hint="default" w:ascii="Times New Roman" w:hAnsi="Times New Roman" w:eastAsia="楷体" w:cs="Times New Roman"/>
          <w:b w:val="0"/>
          <w:bCs/>
          <w:color w:val="auto"/>
          <w:sz w:val="32"/>
          <w:szCs w:val="32"/>
          <w:highlight w:val="none"/>
          <w:lang w:val="en-US"/>
        </w:rPr>
        <w:t>部门评价结果</w:t>
      </w:r>
      <w:r>
        <w:rPr>
          <w:rFonts w:hint="default" w:ascii="Times New Roman" w:hAnsi="Times New Roman" w:eastAsia="楷体" w:cs="Times New Roman"/>
          <w:b w:val="0"/>
          <w:bCs/>
          <w:color w:val="auto"/>
          <w:sz w:val="32"/>
          <w:szCs w:val="32"/>
          <w:highlight w:val="none"/>
          <w:u w:val="none"/>
        </w:rPr>
        <w:t>。</w:t>
      </w:r>
    </w:p>
    <w:p>
      <w:pPr>
        <w:keepNext w:val="0"/>
        <w:keepLines w:val="0"/>
        <w:pageBreakBefore w:val="0"/>
        <w:widowControl/>
        <w:kinsoku/>
        <w:wordWrap/>
        <w:overflowPunct/>
        <w:topLinePunct w:val="0"/>
        <w:autoSpaceDE/>
        <w:autoSpaceDN/>
        <w:bidi w:val="0"/>
        <w:adjustRightInd/>
        <w:snapToGrid/>
        <w:spacing w:line="572"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bidi="ar"/>
        </w:rPr>
        <w:t>无</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b w:val="0"/>
          <w:bCs/>
          <w:color w:val="auto"/>
          <w:sz w:val="32"/>
          <w:szCs w:val="32"/>
          <w:highlight w:val="none"/>
        </w:rPr>
      </w:pPr>
      <w:r>
        <w:rPr>
          <w:rFonts w:hint="default" w:ascii="Times New Roman" w:hAnsi="Times New Roman" w:eastAsia="楷体" w:cs="Times New Roman"/>
          <w:b w:val="0"/>
          <w:bCs/>
          <w:color w:val="auto"/>
          <w:sz w:val="32"/>
          <w:szCs w:val="32"/>
          <w:highlight w:val="none"/>
          <w:lang w:eastAsia="zh-CN"/>
        </w:rPr>
        <w:t>（四）财政评价结果</w:t>
      </w:r>
      <w:r>
        <w:rPr>
          <w:rFonts w:hint="default" w:ascii="Times New Roman" w:hAnsi="Times New Roman" w:eastAsia="楷体" w:cs="Times New Roman"/>
          <w:b w:val="0"/>
          <w:bCs/>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无。</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十一、其他重要事项情况说明</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bCs/>
          <w:color w:val="auto"/>
          <w:sz w:val="32"/>
          <w:szCs w:val="32"/>
          <w:highlight w:val="none"/>
        </w:rPr>
      </w:pPr>
      <w:bookmarkStart w:id="95" w:name="_Toc15262_WPSOffice_Level2"/>
      <w:bookmarkStart w:id="96" w:name="_Toc18325_WPSOffice_Level2"/>
      <w:bookmarkStart w:id="97" w:name="_Toc15565_WPSOffice_Level2"/>
      <w:bookmarkStart w:id="98" w:name="_Toc23598_WPSOffice_Level2"/>
      <w:bookmarkStart w:id="99" w:name="_Toc32639_WPSOffice_Level2"/>
      <w:bookmarkStart w:id="100" w:name="_Toc5978_WPSOffice_Level2"/>
      <w:r>
        <w:rPr>
          <w:rFonts w:hint="default" w:ascii="Times New Roman" w:hAnsi="Times New Roman" w:eastAsia="楷体" w:cs="Times New Roman"/>
          <w:bCs/>
          <w:color w:val="auto"/>
          <w:sz w:val="32"/>
          <w:szCs w:val="32"/>
          <w:highlight w:val="none"/>
        </w:rPr>
        <w:t>（一）机关运行经费支出情况。</w:t>
      </w:r>
      <w:bookmarkEnd w:id="95"/>
      <w:bookmarkEnd w:id="96"/>
      <w:bookmarkEnd w:id="97"/>
      <w:bookmarkEnd w:id="98"/>
      <w:bookmarkEnd w:id="99"/>
      <w:bookmarkEnd w:id="100"/>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2022年度</w:t>
      </w:r>
      <w:r>
        <w:rPr>
          <w:rFonts w:hint="default" w:ascii="Times New Roman" w:hAnsi="Times New Roman" w:eastAsia="仿宋_GB2312" w:cs="Times New Roman"/>
          <w:color w:val="auto"/>
          <w:sz w:val="32"/>
          <w:szCs w:val="32"/>
          <w:highlight w:val="none"/>
          <w:lang w:eastAsia="zh-CN"/>
        </w:rPr>
        <w:t>三亚市土地整理中心</w:t>
      </w:r>
      <w:r>
        <w:rPr>
          <w:rFonts w:hint="default" w:ascii="Times New Roman" w:hAnsi="Times New Roman" w:eastAsia="仿宋_GB2312" w:cs="Times New Roman"/>
          <w:color w:val="auto"/>
          <w:sz w:val="32"/>
          <w:szCs w:val="32"/>
          <w:highlight w:val="none"/>
        </w:rPr>
        <w:t>机关运行经费</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比年初预算增加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增长</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bCs/>
          <w:color w:val="auto"/>
          <w:sz w:val="32"/>
          <w:szCs w:val="32"/>
          <w:highlight w:val="none"/>
        </w:rPr>
      </w:pPr>
      <w:bookmarkStart w:id="101" w:name="_Toc25333_WPSOffice_Level2"/>
      <w:bookmarkStart w:id="102" w:name="_Toc32689_WPSOffice_Level2"/>
      <w:bookmarkStart w:id="103" w:name="_Toc13084_WPSOffice_Level2"/>
      <w:bookmarkStart w:id="104" w:name="_Toc30383_WPSOffice_Level2"/>
      <w:bookmarkStart w:id="105" w:name="_Toc23966_WPSOffice_Level2"/>
      <w:bookmarkStart w:id="106" w:name="_Toc3131_WPSOffice_Level2"/>
      <w:r>
        <w:rPr>
          <w:rFonts w:hint="default" w:ascii="Times New Roman" w:hAnsi="Times New Roman" w:eastAsia="楷体" w:cs="Times New Roman"/>
          <w:bCs/>
          <w:color w:val="auto"/>
          <w:sz w:val="32"/>
          <w:szCs w:val="32"/>
          <w:highlight w:val="none"/>
        </w:rPr>
        <w:t>（二）政府采购支出情况。</w:t>
      </w:r>
      <w:bookmarkEnd w:id="101"/>
      <w:bookmarkEnd w:id="102"/>
      <w:bookmarkEnd w:id="103"/>
      <w:bookmarkEnd w:id="104"/>
      <w:bookmarkEnd w:id="105"/>
      <w:bookmarkEnd w:id="106"/>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2022年度</w:t>
      </w:r>
      <w:r>
        <w:rPr>
          <w:rFonts w:hint="default" w:ascii="Times New Roman" w:hAnsi="Times New Roman" w:eastAsia="仿宋_GB2312" w:cs="Times New Roman"/>
          <w:color w:val="auto"/>
          <w:sz w:val="32"/>
          <w:szCs w:val="32"/>
          <w:highlight w:val="none"/>
          <w:lang w:eastAsia="zh-CN"/>
        </w:rPr>
        <w:t>三亚市土地整理中心</w:t>
      </w:r>
      <w:r>
        <w:rPr>
          <w:rFonts w:hint="default" w:ascii="Times New Roman" w:hAnsi="Times New Roman" w:eastAsia="仿宋_GB2312" w:cs="Times New Roman"/>
          <w:color w:val="auto"/>
          <w:sz w:val="32"/>
          <w:szCs w:val="32"/>
          <w:highlight w:val="none"/>
        </w:rPr>
        <w:t>政府采购支出总额</w:t>
      </w:r>
      <w:r>
        <w:rPr>
          <w:rFonts w:hint="default" w:ascii="Times New Roman" w:hAnsi="Times New Roman" w:eastAsia="仿宋_GB2312" w:cs="Times New Roman"/>
          <w:color w:val="auto"/>
          <w:sz w:val="32"/>
          <w:szCs w:val="32"/>
          <w:highlight w:val="none"/>
          <w:lang w:val="en-US" w:eastAsia="zh-CN"/>
        </w:rPr>
        <w:t>19225.68</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其中</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政府采购货物支出</w:t>
      </w:r>
      <w:r>
        <w:rPr>
          <w:rFonts w:hint="default" w:ascii="Times New Roman" w:hAnsi="Times New Roman" w:eastAsia="仿宋_GB2312" w:cs="Times New Roman"/>
          <w:color w:val="auto"/>
          <w:sz w:val="32"/>
          <w:szCs w:val="32"/>
          <w:highlight w:val="none"/>
          <w:lang w:val="en-US" w:eastAsia="zh-CN"/>
        </w:rPr>
        <w:t>19225.68</w:t>
      </w:r>
      <w:r>
        <w:rPr>
          <w:rFonts w:hint="default" w:ascii="Times New Roman" w:hAnsi="Times New Roman" w:eastAsia="仿宋_GB2312" w:cs="Times New Roman"/>
          <w:color w:val="auto"/>
          <w:sz w:val="32"/>
          <w:szCs w:val="32"/>
          <w:highlight w:val="none"/>
        </w:rPr>
        <w:t>万元、政府采购工程支出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万元、政府采购服务支出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万元。授予中小企业合同金额</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占政府采购支出总额的</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其中</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授予小微企业合同金额</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kern w:val="0"/>
          <w:sz w:val="32"/>
          <w:szCs w:val="32"/>
          <w:highlight w:val="none"/>
          <w:lang w:bidi="ar"/>
        </w:rPr>
        <w:t>授予中小企业合同金额</w:t>
      </w:r>
      <w:r>
        <w:rPr>
          <w:rFonts w:hint="default" w:ascii="Times New Roman" w:hAnsi="Times New Roman" w:eastAsia="仿宋_GB2312" w:cs="Times New Roman"/>
          <w:color w:val="auto"/>
          <w:sz w:val="32"/>
          <w:szCs w:val="32"/>
          <w:highlight w:val="none"/>
        </w:rPr>
        <w:t>的</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楷体" w:cs="Times New Roman"/>
          <w:bCs/>
          <w:color w:val="auto"/>
          <w:sz w:val="32"/>
          <w:szCs w:val="32"/>
          <w:highlight w:val="none"/>
        </w:rPr>
      </w:pPr>
      <w:bookmarkStart w:id="107" w:name="_Toc6016_WPSOffice_Level2"/>
      <w:bookmarkStart w:id="108" w:name="_Toc19989_WPSOffice_Level2"/>
      <w:bookmarkStart w:id="109" w:name="_Toc29584_WPSOffice_Level2"/>
      <w:bookmarkStart w:id="110" w:name="_Toc527_WPSOffice_Level2"/>
      <w:bookmarkStart w:id="111" w:name="_Toc15129_WPSOffice_Level2"/>
      <w:bookmarkStart w:id="112" w:name="_Toc10902_WPSOffice_Level2"/>
      <w:r>
        <w:rPr>
          <w:rFonts w:hint="default" w:ascii="Times New Roman" w:hAnsi="Times New Roman" w:eastAsia="楷体" w:cs="Times New Roman"/>
          <w:bCs/>
          <w:color w:val="auto"/>
          <w:sz w:val="32"/>
          <w:szCs w:val="32"/>
          <w:highlight w:val="none"/>
        </w:rPr>
        <w:t>（三）国有资产占用情况。</w:t>
      </w:r>
      <w:bookmarkEnd w:id="107"/>
      <w:bookmarkEnd w:id="108"/>
      <w:bookmarkEnd w:id="109"/>
      <w:bookmarkEnd w:id="110"/>
      <w:bookmarkEnd w:id="111"/>
      <w:bookmarkEnd w:id="112"/>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Cs/>
          <w:color w:val="auto"/>
          <w:sz w:val="32"/>
          <w:szCs w:val="32"/>
          <w:highlight w:val="none"/>
        </w:rPr>
        <w:t>截至2022年12月31日</w:t>
      </w:r>
      <w:r>
        <w:rPr>
          <w:rFonts w:hint="eastAsia"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本部门拥有</w:t>
      </w:r>
      <w:r>
        <w:rPr>
          <w:rFonts w:hint="default" w:ascii="Times New Roman" w:hAnsi="Times New Roman" w:eastAsia="仿宋_GB2312" w:cs="Times New Roman"/>
          <w:color w:val="auto"/>
          <w:sz w:val="32"/>
          <w:szCs w:val="32"/>
          <w:highlight w:val="none"/>
        </w:rPr>
        <w:t>房屋面积</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平方米</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其中</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办公用房</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平方米</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业务用房</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平方米</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其他（不含构筑物）</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平方米。</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本部门共有车辆</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其中</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副部（省）级及以上领导用车</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辆、主要领导干部用车</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辆、机要通信用车</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辆、应急保障用车</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辆、执法执勤用车</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辆、特种专业技术用车</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辆、离退休干部用车</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辆、其他用车</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辆</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其他用车主要是</w:t>
      </w:r>
      <w:r>
        <w:rPr>
          <w:rFonts w:hint="default" w:ascii="Times New Roman" w:hAnsi="Times New Roman" w:eastAsia="仿宋_GB2312" w:cs="Times New Roman"/>
          <w:color w:val="auto"/>
          <w:sz w:val="32"/>
          <w:szCs w:val="32"/>
          <w:highlight w:val="none"/>
          <w:lang w:eastAsia="zh-CN"/>
        </w:rPr>
        <w:t>用于业务下乡用车</w:t>
      </w:r>
      <w:r>
        <w:rPr>
          <w:rFonts w:hint="default" w:ascii="Times New Roman" w:hAnsi="Times New Roman" w:eastAsia="仿宋_GB2312" w:cs="Times New Roman"/>
          <w:color w:val="auto"/>
          <w:sz w:val="32"/>
          <w:szCs w:val="32"/>
          <w:highlight w:val="none"/>
        </w:rPr>
        <w:t>。单价100万元（含）以上设备（不含车辆）</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台（套）。</w:t>
      </w:r>
    </w:p>
    <w:p>
      <w:pPr>
        <w:keepNext w:val="0"/>
        <w:keepLines w:val="0"/>
        <w:pageBreakBefore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年末在建工程</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黑体" w:hAnsi="ˎ̥" w:eastAsia="黑体"/>
          <w:color w:val="FF0000"/>
          <w:sz w:val="32"/>
          <w:szCs w:val="32"/>
          <w:highlight w:val="none"/>
        </w:rPr>
      </w:pPr>
      <w:bookmarkStart w:id="113" w:name="_Toc17580_WPSOffice_Level1"/>
      <w:bookmarkStart w:id="114" w:name="_Toc11039_WPSOffice_Level1"/>
      <w:bookmarkStart w:id="115" w:name="_Toc8808_WPSOffice_Level1"/>
      <w:bookmarkStart w:id="116" w:name="_Toc15425_WPSOffice_Level1"/>
      <w:bookmarkStart w:id="117" w:name="_Toc8874_WPSOffice_Level1"/>
      <w:bookmarkStart w:id="118" w:name="_Toc4398_WPSOffice_Level1"/>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auto"/>
          <w:sz w:val="32"/>
          <w:szCs w:val="32"/>
          <w:highlight w:val="none"/>
        </w:rPr>
      </w:pPr>
      <w:r>
        <w:rPr>
          <w:rFonts w:hint="eastAsia" w:ascii="黑体" w:hAnsi="ˎ̥" w:eastAsia="黑体"/>
          <w:color w:val="auto"/>
          <w:sz w:val="32"/>
          <w:szCs w:val="32"/>
          <w:highlight w:val="none"/>
        </w:rPr>
        <w:t>第四部分  名词解释</w:t>
      </w:r>
      <w:bookmarkEnd w:id="113"/>
      <w:bookmarkEnd w:id="114"/>
      <w:bookmarkEnd w:id="115"/>
      <w:bookmarkEnd w:id="116"/>
      <w:bookmarkEnd w:id="117"/>
      <w:bookmarkEnd w:id="118"/>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auto"/>
          <w:sz w:val="32"/>
          <w:szCs w:val="32"/>
          <w:highlight w:val="none"/>
        </w:rPr>
      </w:pP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财政拨款收入</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指同级政府财政部门当年拨付的各类财政拨款。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二、上级补助收入</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指事业单位从主管部门和上级单位取得的非财政补助收入。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三、事业收入</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指事业单位开展专业业务活动及辅助活动取得的收入。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四、经营收入</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指事业单位在专业业务活动及其辅助活动之外开展非独立核算经营活动取得的收入。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五、附属单位上缴收入</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指事业单位取得附属独立核算单位根据有关规定上缴的收入。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六、其他收入</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指除上述“财政拨款收入”“事业收入”“上级补助收入”“经营收入”“附属单位上缴收入”等以外的收入。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七、使用非财政拨款结余</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指事业单位在当年的“财政拨款收入”“事业收入”“经营收入”“其他收入”等不足以安排当年支出的情况下</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使用非同级财政拨款结余资金弥补本年度收支缺口。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八、年初结转和结余</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指以前年度尚未完成、结转到本年按有关规定继续使用的资金</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或项目已完成等产生的结余资金。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九、结余分配</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指事业单位缴纳企业所得税以及从非财政拨款结余或经营结余中提取各类结余的情况。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十、年末结转和结余</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指本年度或以前年度预算安排、因客观条件发生变化无法按原计划实施</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需要延迟到以后年度按有关规定继续使用的资金（不包括事业单位非财政拨款结余和专用结余）。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十一、基本支出</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指为保障机构正常运转、完成日常工作任务而发生的人员支出和公用支出。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十二、项目支出</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指在基本支出之外为完成特定行政任务和事业发展目标所发生的支出。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十三、经营支出</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指事业单位在专业业务活动及其辅助活动之外开展非独立核算经营活动发生的支出。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十四、“三公”经费</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纳入本级财政预决算管理的“三公”经费</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是指用一般公共预算财政拨款、政府性基金预算财政拨款及国有资本经营预算财政拨款安排的因公出国（境）费、公务用车购置及运行维护费和公务接待费。其中</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因公出国（境）费反映单位公务出国（境）的国际旅费、国外城市间交通费、住宿费、伙食费、培训费、公杂费等支出</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公务用车购置及运行维护费反映单位公务用车车辆购置支出（含车辆购置税、牌照费）及燃料费、维修费、过路过桥费、保险费、安全奖励费用等支出</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公务接待费反映单位按规定开支的各类公务接待（含外宾接待）费用。</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十五、机关运行经费</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为保障行政单位（含参照公务员法管理的事业单位）运行使用一般公共预算财政拨款安排的基本支出经费用于购买货物和服务的各项资金</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包括办公及印刷费、邮电费、差旅费、会议费、福利费、日常维修费、专用材料及一般设备购置费、办公用房水电费、办公用房取暖费、办公用房物业管理费、公务用车运行维护费以及其他费用等。</w:t>
      </w:r>
    </w:p>
    <w:p>
      <w:pPr>
        <w:keepNext w:val="0"/>
        <w:keepLines w:val="0"/>
        <w:pageBreakBefore w:val="0"/>
        <w:kinsoku/>
        <w:wordWrap/>
        <w:overflowPunct/>
        <w:topLinePunct w:val="0"/>
        <w:autoSpaceDE/>
        <w:autoSpaceDN/>
        <w:bidi w:val="0"/>
        <w:adjustRightInd/>
        <w:snapToGrid/>
        <w:spacing w:line="560" w:lineRule="exact"/>
        <w:textAlignment w:val="auto"/>
        <w:rPr>
          <w:color w:val="FF0000"/>
          <w:highlight w:val="none"/>
        </w:rPr>
      </w:pPr>
    </w:p>
    <w:sectPr>
      <w:footerReference r:id="rId3" w:type="default"/>
      <w:footerReference r:id="rId4" w:type="even"/>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7"/>
                            </w:rPr>
                          </w:pPr>
                          <w:r>
                            <w:rPr>
                              <w:rStyle w:val="7"/>
                            </w:rPr>
                            <w:t xml:space="preserve">— </w:t>
                          </w:r>
                          <w:r>
                            <w:fldChar w:fldCharType="begin"/>
                          </w:r>
                          <w:r>
                            <w:rPr>
                              <w:rStyle w:val="7"/>
                            </w:rPr>
                            <w:instrText xml:space="preserve"> PAGE  \* MERGEFORMAT </w:instrText>
                          </w:r>
                          <w:r>
                            <w:fldChar w:fldCharType="separate"/>
                          </w:r>
                          <w:r>
                            <w:rPr>
                              <w:rStyle w:val="7"/>
                            </w:rPr>
                            <w:t>1</w:t>
                          </w:r>
                          <w:r>
                            <w:fldChar w:fldCharType="end"/>
                          </w:r>
                          <w:r>
                            <w:rPr>
                              <w:rStyle w:val="7"/>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3"/>
                      <w:rPr>
                        <w:rStyle w:val="7"/>
                      </w:rPr>
                    </w:pPr>
                    <w:r>
                      <w:rPr>
                        <w:rStyle w:val="7"/>
                      </w:rPr>
                      <w:t xml:space="preserve">— </w:t>
                    </w:r>
                    <w:r>
                      <w:fldChar w:fldCharType="begin"/>
                    </w:r>
                    <w:r>
                      <w:rPr>
                        <w:rStyle w:val="7"/>
                      </w:rPr>
                      <w:instrText xml:space="preserve"> PAGE  \* MERGEFORMAT </w:instrText>
                    </w:r>
                    <w:r>
                      <w:fldChar w:fldCharType="separate"/>
                    </w:r>
                    <w:r>
                      <w:rPr>
                        <w:rStyle w:val="7"/>
                      </w:rPr>
                      <w:t>1</w:t>
                    </w:r>
                    <w:r>
                      <w:fldChar w:fldCharType="end"/>
                    </w:r>
                    <w:r>
                      <w:rPr>
                        <w:rStyle w:val="7"/>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72109F8D"/>
    <w:multiLevelType w:val="singleLevel"/>
    <w:tmpl w:val="72109F8D"/>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7F73C99"/>
    <w:rsid w:val="00064A91"/>
    <w:rsid w:val="000718C4"/>
    <w:rsid w:val="000779B0"/>
    <w:rsid w:val="001E4E23"/>
    <w:rsid w:val="001E510D"/>
    <w:rsid w:val="001F28C1"/>
    <w:rsid w:val="001F4EC0"/>
    <w:rsid w:val="00213789"/>
    <w:rsid w:val="002A6E07"/>
    <w:rsid w:val="003D2F77"/>
    <w:rsid w:val="0049261A"/>
    <w:rsid w:val="004D515A"/>
    <w:rsid w:val="005C43A2"/>
    <w:rsid w:val="00602EED"/>
    <w:rsid w:val="00731FC7"/>
    <w:rsid w:val="00754F6E"/>
    <w:rsid w:val="009A2744"/>
    <w:rsid w:val="00A54A37"/>
    <w:rsid w:val="00AC28EE"/>
    <w:rsid w:val="00B36E61"/>
    <w:rsid w:val="00B409FF"/>
    <w:rsid w:val="00BC0439"/>
    <w:rsid w:val="00CA0F14"/>
    <w:rsid w:val="00CB0D1E"/>
    <w:rsid w:val="00DB612B"/>
    <w:rsid w:val="00DC2A37"/>
    <w:rsid w:val="00F0336A"/>
    <w:rsid w:val="00F06DA9"/>
    <w:rsid w:val="00F25220"/>
    <w:rsid w:val="00FC03DC"/>
    <w:rsid w:val="06331037"/>
    <w:rsid w:val="07C63547"/>
    <w:rsid w:val="088255C4"/>
    <w:rsid w:val="09A06AC2"/>
    <w:rsid w:val="09D57E4A"/>
    <w:rsid w:val="0B2915E4"/>
    <w:rsid w:val="0CE3099A"/>
    <w:rsid w:val="0CF53F7D"/>
    <w:rsid w:val="0F03167A"/>
    <w:rsid w:val="0FB23C78"/>
    <w:rsid w:val="104814D5"/>
    <w:rsid w:val="10AD500A"/>
    <w:rsid w:val="11213AEB"/>
    <w:rsid w:val="133536E2"/>
    <w:rsid w:val="136F98C7"/>
    <w:rsid w:val="13E1158B"/>
    <w:rsid w:val="14CC381C"/>
    <w:rsid w:val="167B4D30"/>
    <w:rsid w:val="170D0206"/>
    <w:rsid w:val="1BCE2BC8"/>
    <w:rsid w:val="1BE22710"/>
    <w:rsid w:val="1D97130D"/>
    <w:rsid w:val="1DE7CF42"/>
    <w:rsid w:val="1E271057"/>
    <w:rsid w:val="20BE1E5E"/>
    <w:rsid w:val="229536F9"/>
    <w:rsid w:val="22DB7394"/>
    <w:rsid w:val="23F71198"/>
    <w:rsid w:val="25122602"/>
    <w:rsid w:val="28B85FF4"/>
    <w:rsid w:val="2A134D99"/>
    <w:rsid w:val="2BC07D99"/>
    <w:rsid w:val="2C257F7B"/>
    <w:rsid w:val="2CBF664D"/>
    <w:rsid w:val="2DB03A81"/>
    <w:rsid w:val="2DF32ECC"/>
    <w:rsid w:val="2E7C7D11"/>
    <w:rsid w:val="2F4B5984"/>
    <w:rsid w:val="33F4125C"/>
    <w:rsid w:val="34E9699A"/>
    <w:rsid w:val="37FDA7E2"/>
    <w:rsid w:val="383547B0"/>
    <w:rsid w:val="38F838BC"/>
    <w:rsid w:val="3A7A414F"/>
    <w:rsid w:val="3AF245D3"/>
    <w:rsid w:val="3BFA0FCD"/>
    <w:rsid w:val="3DAC0453"/>
    <w:rsid w:val="3FDB2725"/>
    <w:rsid w:val="401B69DB"/>
    <w:rsid w:val="417D6088"/>
    <w:rsid w:val="42C76C5A"/>
    <w:rsid w:val="45A156FB"/>
    <w:rsid w:val="48944E5C"/>
    <w:rsid w:val="4B305DDA"/>
    <w:rsid w:val="4C9554F3"/>
    <w:rsid w:val="4CED5F6C"/>
    <w:rsid w:val="4E24388B"/>
    <w:rsid w:val="4FE75D19"/>
    <w:rsid w:val="526C4082"/>
    <w:rsid w:val="53CF013F"/>
    <w:rsid w:val="563616FB"/>
    <w:rsid w:val="574B622F"/>
    <w:rsid w:val="58DD0656"/>
    <w:rsid w:val="5ABB7196"/>
    <w:rsid w:val="5DE840F1"/>
    <w:rsid w:val="5E0623F9"/>
    <w:rsid w:val="5F7D3333"/>
    <w:rsid w:val="5FE413BA"/>
    <w:rsid w:val="60C409D0"/>
    <w:rsid w:val="62030F69"/>
    <w:rsid w:val="63C74368"/>
    <w:rsid w:val="6483268D"/>
    <w:rsid w:val="65334170"/>
    <w:rsid w:val="65F7100F"/>
    <w:rsid w:val="66FF5A0E"/>
    <w:rsid w:val="67516C27"/>
    <w:rsid w:val="67F66452"/>
    <w:rsid w:val="68232F24"/>
    <w:rsid w:val="683B0BB8"/>
    <w:rsid w:val="68D76EBB"/>
    <w:rsid w:val="690570A6"/>
    <w:rsid w:val="69482D05"/>
    <w:rsid w:val="69C93D85"/>
    <w:rsid w:val="69E03522"/>
    <w:rsid w:val="6CB00AF8"/>
    <w:rsid w:val="6F2F465E"/>
    <w:rsid w:val="6F670F9B"/>
    <w:rsid w:val="712E2CB3"/>
    <w:rsid w:val="71751A77"/>
    <w:rsid w:val="729131BC"/>
    <w:rsid w:val="749B6E92"/>
    <w:rsid w:val="74EE55B9"/>
    <w:rsid w:val="75ABE07F"/>
    <w:rsid w:val="789A160B"/>
    <w:rsid w:val="789D7D19"/>
    <w:rsid w:val="79725439"/>
    <w:rsid w:val="79F61A2B"/>
    <w:rsid w:val="7AB06392"/>
    <w:rsid w:val="7AC40B84"/>
    <w:rsid w:val="7AFF23E0"/>
    <w:rsid w:val="7B2E351F"/>
    <w:rsid w:val="7C974B16"/>
    <w:rsid w:val="7DB0448C"/>
    <w:rsid w:val="7E5F9AA4"/>
    <w:rsid w:val="7EAFA869"/>
    <w:rsid w:val="7F6A194B"/>
    <w:rsid w:val="7F76169F"/>
    <w:rsid w:val="7FCB58E0"/>
    <w:rsid w:val="7FDF3C9F"/>
    <w:rsid w:val="7FF86E00"/>
    <w:rsid w:val="7FFAF586"/>
    <w:rsid w:val="8FFC8888"/>
    <w:rsid w:val="A7F73C99"/>
    <w:rsid w:val="BAAF9708"/>
    <w:rsid w:val="BFFD1316"/>
    <w:rsid w:val="D8BB1E73"/>
    <w:rsid w:val="D955173D"/>
    <w:rsid w:val="DDF4A437"/>
    <w:rsid w:val="DFDF7540"/>
    <w:rsid w:val="DFEBDA37"/>
    <w:rsid w:val="FEF5C0D4"/>
    <w:rsid w:val="FEFB63A4"/>
    <w:rsid w:val="FF23D46A"/>
    <w:rsid w:val="FF77658B"/>
    <w:rsid w:val="FF7FA20F"/>
    <w:rsid w:val="FFBFA98A"/>
    <w:rsid w:val="FFCF2E48"/>
    <w:rsid w:val="FFDB46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style>
  <w:style w:type="paragraph" w:styleId="2">
    <w:name w:val="Balloon Text"/>
    <w:basedOn w:val="1"/>
    <w:link w:val="11"/>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2"/>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paragraph" w:customStyle="1" w:styleId="8">
    <w:name w:val="WPSOffice手动目录 1"/>
    <w:qFormat/>
    <w:uiPriority w:val="0"/>
    <w:rPr>
      <w:lang w:val="en-US" w:eastAsia="zh-CN" w:bidi="ar-SA"/>
    </w:rPr>
  </w:style>
  <w:style w:type="paragraph" w:customStyle="1" w:styleId="9">
    <w:name w:val="WPSOffice手动目录 2"/>
    <w:qFormat/>
    <w:uiPriority w:val="0"/>
    <w:pPr>
      <w:ind w:leftChars="200"/>
    </w:pPr>
    <w:rPr>
      <w:lang w:val="en-US" w:eastAsia="zh-CN" w:bidi="ar-SA"/>
    </w:rPr>
  </w:style>
  <w:style w:type="paragraph" w:customStyle="1" w:styleId="10">
    <w:name w:val="正文1 Char Char Char"/>
    <w:basedOn w:val="1"/>
    <w:qFormat/>
    <w:uiPriority w:val="0"/>
    <w:pPr>
      <w:spacing w:line="360" w:lineRule="auto"/>
      <w:ind w:firstLine="200" w:firstLineChars="200"/>
    </w:pPr>
  </w:style>
  <w:style w:type="character" w:customStyle="1" w:styleId="11">
    <w:name w:val="批注框文本 Char"/>
    <w:link w:val="2"/>
    <w:uiPriority w:val="0"/>
    <w:rPr>
      <w:kern w:val="2"/>
      <w:sz w:val="18"/>
      <w:szCs w:val="18"/>
    </w:rPr>
  </w:style>
  <w:style w:type="character" w:customStyle="1" w:styleId="12">
    <w:name w:val="页眉 Char"/>
    <w:link w:val="4"/>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1377</Words>
  <Characters>7851</Characters>
  <Lines>65</Lines>
  <Paragraphs>18</Paragraphs>
  <TotalTime>2</TotalTime>
  <ScaleCrop>false</ScaleCrop>
  <LinksUpToDate>false</LinksUpToDate>
  <CharactersWithSpaces>9210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2023-07-31T02:06:00Z</dcterms:created>
  <dc:creator>uos</dc:creator>
  <cp:lastModifiedBy>Administrator</cp:lastModifiedBy>
  <cp:lastPrinted>2023-10-25T01:48:02Z</cp:lastPrinted>
  <dcterms:modified xsi:type="dcterms:W3CDTF">2023-10-25T09:49:54Z</dcterms:modified>
  <dc:title>附件2</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