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963" w:firstLineChars="300"/>
        <w:jc w:val="both"/>
        <w:rPr>
          <w:rFonts w:hint="eastAsia" w:ascii="黑体" w:hAnsi="黑体" w:eastAsia="黑体"/>
          <w:b/>
          <w:sz w:val="32"/>
          <w:szCs w:val="32"/>
          <w:lang w:eastAsia="zh-CN"/>
        </w:rPr>
      </w:pPr>
      <w:bookmarkStart w:id="0" w:name="_Hlk93576427"/>
      <w:bookmarkEnd w:id="0"/>
      <w:bookmarkStart w:id="3" w:name="_GoBack"/>
      <w:bookmarkEnd w:id="3"/>
      <w:r>
        <w:rPr>
          <w:rFonts w:hint="eastAsia" w:ascii="黑体" w:hAnsi="黑体" w:eastAsia="黑体"/>
          <w:b/>
          <w:sz w:val="32"/>
          <w:szCs w:val="32"/>
        </w:rPr>
        <w:t>《三亚抱坡片区控制性详细规划》</w:t>
      </w:r>
      <w:r>
        <w:rPr>
          <w:rFonts w:hint="eastAsia" w:ascii="黑体" w:hAnsi="黑体" w:eastAsia="黑体"/>
          <w:b/>
          <w:sz w:val="32"/>
          <w:szCs w:val="32"/>
          <w:lang w:eastAsia="zh-CN"/>
        </w:rPr>
        <w:t>批前公示材料</w:t>
      </w:r>
    </w:p>
    <w:p>
      <w:pPr>
        <w:ind w:firstLine="963" w:firstLineChars="300"/>
        <w:jc w:val="both"/>
        <w:rPr>
          <w:rFonts w:hint="eastAsia" w:ascii="黑体" w:hAnsi="黑体" w:eastAsia="黑体"/>
          <w:b/>
          <w:sz w:val="32"/>
          <w:szCs w:val="32"/>
          <w:lang w:eastAsia="zh-CN"/>
        </w:rPr>
      </w:pPr>
    </w:p>
    <w:p>
      <w:pPr>
        <w:numPr>
          <w:ilvl w:val="0"/>
          <w:numId w:val="3"/>
        </w:numPr>
        <w:jc w:val="left"/>
        <w:rPr>
          <w:rFonts w:ascii="仿宋" w:hAnsi="仿宋" w:eastAsia="仿宋"/>
          <w:b/>
          <w:sz w:val="32"/>
          <w:szCs w:val="32"/>
        </w:rPr>
      </w:pPr>
      <w:r>
        <w:rPr>
          <w:rFonts w:hint="eastAsia" w:ascii="仿宋" w:hAnsi="仿宋" w:eastAsia="仿宋"/>
          <w:b/>
          <w:sz w:val="32"/>
          <w:szCs w:val="32"/>
        </w:rPr>
        <w:t>规划背景</w:t>
      </w:r>
    </w:p>
    <w:p>
      <w:pPr>
        <w:spacing w:line="520" w:lineRule="exact"/>
        <w:ind w:firstLine="528" w:firstLineChars="176"/>
        <w:rPr>
          <w:rFonts w:ascii="仿宋" w:hAnsi="仿宋" w:eastAsia="仿宋"/>
          <w:color w:val="000000"/>
          <w:sz w:val="30"/>
          <w:szCs w:val="30"/>
        </w:rPr>
      </w:pPr>
      <w:r>
        <w:rPr>
          <w:rFonts w:hint="eastAsia" w:ascii="仿宋" w:hAnsi="仿宋" w:eastAsia="仿宋"/>
          <w:color w:val="000000"/>
          <w:sz w:val="30"/>
          <w:szCs w:val="30"/>
        </w:rPr>
        <w:t>为规范和引导新时期三亚抱坡片区的发展建设，衔接落实《三亚市总体规划（空间类</w:t>
      </w:r>
      <w:r>
        <w:rPr>
          <w:rFonts w:ascii="仿宋" w:hAnsi="仿宋" w:eastAsia="仿宋"/>
          <w:color w:val="000000"/>
          <w:sz w:val="30"/>
          <w:szCs w:val="30"/>
        </w:rPr>
        <w:t>2015-2030）》、《三亚市国土空间总体规划（2020-2035）》（在编）的定位要求和空间战略，进一步深化城市设计方案综合，特编制《三亚抱坡片区控制性详细规划》（以下简称“本规划”）</w:t>
      </w:r>
      <w:r>
        <w:rPr>
          <w:rFonts w:hint="eastAsia" w:ascii="仿宋" w:hAnsi="仿宋" w:eastAsia="仿宋"/>
          <w:color w:val="000000"/>
          <w:sz w:val="30"/>
          <w:szCs w:val="30"/>
        </w:rPr>
        <w:t>。</w:t>
      </w:r>
    </w:p>
    <w:p>
      <w:pPr>
        <w:numPr>
          <w:ilvl w:val="0"/>
          <w:numId w:val="3"/>
        </w:numPr>
        <w:jc w:val="left"/>
        <w:rPr>
          <w:rFonts w:ascii="仿宋" w:hAnsi="仿宋" w:eastAsia="仿宋"/>
          <w:b/>
          <w:sz w:val="32"/>
          <w:szCs w:val="32"/>
        </w:rPr>
      </w:pPr>
      <w:r>
        <w:rPr>
          <w:rFonts w:hint="eastAsia" w:ascii="仿宋" w:hAnsi="仿宋" w:eastAsia="仿宋"/>
          <w:b/>
          <w:sz w:val="32"/>
          <w:szCs w:val="32"/>
        </w:rPr>
        <w:t>规划范围</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规划范围北临绕城高速、南接现状环岛高铁及高铁站，西临育新路、东至华侨学校，规划范围面积为</w:t>
      </w:r>
      <w:r>
        <w:rPr>
          <w:rFonts w:ascii="仿宋" w:hAnsi="仿宋" w:eastAsia="仿宋"/>
          <w:sz w:val="30"/>
          <w:szCs w:val="30"/>
        </w:rPr>
        <w:t>946.59公顷。</w:t>
      </w:r>
    </w:p>
    <w:p>
      <w:pPr>
        <w:numPr>
          <w:ilvl w:val="0"/>
          <w:numId w:val="3"/>
        </w:numPr>
        <w:jc w:val="left"/>
        <w:rPr>
          <w:rFonts w:ascii="仿宋" w:hAnsi="仿宋" w:eastAsia="仿宋"/>
          <w:b/>
          <w:sz w:val="32"/>
          <w:szCs w:val="32"/>
        </w:rPr>
      </w:pPr>
      <w:r>
        <w:rPr>
          <w:rFonts w:hint="eastAsia" w:ascii="仿宋" w:hAnsi="仿宋" w:eastAsia="仿宋"/>
          <w:b/>
          <w:sz w:val="32"/>
          <w:szCs w:val="32"/>
        </w:rPr>
        <w:t>发展定位</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承载自贸创新、城市服务、政务服务和生态宜居等功能于一体的城市综合组团。</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自贸创新。与中央商务区联动打造完整金融产业链条，探索商务金融的延伸拓展领域。</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城市服务。对标国际化品质标准，补足三亚公共服务短板，建设市级文化中心、体育中心、大型医院及教育设施配套。</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政务服务。以三亚政务服务中心为主体，配套自贸港国际法务、监管、仲裁等功能。</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生态宜居。建设生态社区、安居房、保障房等多类型居住供给及配套完善的高品质宜居社区。</w:t>
      </w:r>
    </w:p>
    <w:p>
      <w:pPr>
        <w:numPr>
          <w:ilvl w:val="0"/>
          <w:numId w:val="3"/>
        </w:numPr>
        <w:jc w:val="left"/>
        <w:rPr>
          <w:rFonts w:ascii="仿宋" w:hAnsi="仿宋" w:eastAsia="仿宋"/>
          <w:b/>
          <w:color w:val="000000"/>
          <w:sz w:val="32"/>
          <w:szCs w:val="32"/>
        </w:rPr>
      </w:pPr>
      <w:r>
        <w:rPr>
          <w:rFonts w:hint="eastAsia" w:ascii="仿宋" w:hAnsi="仿宋" w:eastAsia="仿宋"/>
          <w:b/>
          <w:color w:val="000000"/>
          <w:sz w:val="32"/>
          <w:szCs w:val="32"/>
        </w:rPr>
        <w:t>功能结构</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山海绿楔，城园相生。规划总体形成“一园、三区、多组团”的空间结构。</w:t>
      </w:r>
    </w:p>
    <w:p>
      <w:pPr>
        <w:spacing w:line="520" w:lineRule="exact"/>
        <w:ind w:firstLine="567" w:firstLineChars="189"/>
        <w:rPr>
          <w:rFonts w:ascii="仿宋" w:hAnsi="仿宋" w:eastAsia="仿宋"/>
          <w:sz w:val="30"/>
          <w:szCs w:val="30"/>
        </w:rPr>
      </w:pPr>
      <w:r>
        <w:rPr>
          <w:rFonts w:hint="eastAsia" w:ascii="仿宋" w:hAnsi="仿宋" w:eastAsia="仿宋"/>
          <w:sz w:val="30"/>
          <w:szCs w:val="30"/>
        </w:rPr>
        <w:t>“一园”即以中央稻田公园作为核心开放空间。政务组团、文化中心、体育中心分布在中央稻田公园两侧，公园内保留保护永久基本农田。</w:t>
      </w:r>
      <w:r>
        <w:rPr>
          <w:rFonts w:ascii="仿宋" w:hAnsi="仿宋" w:eastAsia="仿宋"/>
          <w:sz w:val="30"/>
          <w:szCs w:val="30"/>
        </w:rPr>
        <w:t xml:space="preserve">  </w:t>
      </w:r>
    </w:p>
    <w:p>
      <w:pPr>
        <w:spacing w:line="520" w:lineRule="exact"/>
        <w:ind w:firstLine="567" w:firstLineChars="189"/>
        <w:rPr>
          <w:rFonts w:ascii="仿宋" w:hAnsi="仿宋" w:eastAsia="仿宋"/>
          <w:sz w:val="30"/>
          <w:szCs w:val="30"/>
        </w:rPr>
      </w:pPr>
      <w:r>
        <w:rPr>
          <w:rFonts w:ascii="仿宋" w:hAnsi="仿宋" w:eastAsia="仿宋"/>
          <w:sz w:val="30"/>
          <w:szCs w:val="30"/>
        </w:rPr>
        <w:t xml:space="preserve">“三区”即文创商务融合区，政务商务区和体育休闲区。 </w:t>
      </w:r>
    </w:p>
    <w:p>
      <w:pPr>
        <w:spacing w:line="520" w:lineRule="exact"/>
        <w:ind w:firstLine="567" w:firstLineChars="189"/>
        <w:rPr>
          <w:rFonts w:ascii="仿宋" w:hAnsi="仿宋" w:eastAsia="仿宋"/>
          <w:sz w:val="30"/>
          <w:szCs w:val="30"/>
        </w:rPr>
      </w:pPr>
      <w:r>
        <w:rPr>
          <w:rFonts w:ascii="仿宋" w:hAnsi="仿宋" w:eastAsia="仿宋"/>
          <w:sz w:val="30"/>
          <w:szCs w:val="30"/>
        </w:rPr>
        <w:t>“多组团”即多个宜居社区组团，并结合生活圈布局学校、医院以及邻里社区中心，提升设施国际化水平，补充中心城区公共服务短板</w:t>
      </w:r>
      <w:r>
        <w:rPr>
          <w:rFonts w:hint="eastAsia" w:ascii="仿宋" w:hAnsi="仿宋" w:eastAsia="仿宋"/>
          <w:sz w:val="30"/>
          <w:szCs w:val="30"/>
        </w:rPr>
        <w:t>。</w:t>
      </w:r>
    </w:p>
    <w:p>
      <w:pPr>
        <w:numPr>
          <w:ilvl w:val="0"/>
          <w:numId w:val="3"/>
        </w:numPr>
        <w:jc w:val="left"/>
        <w:rPr>
          <w:rFonts w:ascii="仿宋" w:hAnsi="仿宋" w:eastAsia="仿宋"/>
          <w:b/>
          <w:color w:val="000000"/>
          <w:sz w:val="32"/>
          <w:szCs w:val="32"/>
        </w:rPr>
      </w:pPr>
      <w:bookmarkStart w:id="1" w:name="_Toc88383737"/>
      <w:bookmarkStart w:id="2" w:name="_Toc88383936"/>
      <w:r>
        <w:rPr>
          <w:rFonts w:hint="eastAsia" w:ascii="仿宋" w:hAnsi="仿宋" w:eastAsia="仿宋"/>
          <w:b/>
          <w:color w:val="000000"/>
          <w:sz w:val="32"/>
          <w:szCs w:val="32"/>
        </w:rPr>
        <w:t>用地</w:t>
      </w:r>
      <w:bookmarkEnd w:id="1"/>
      <w:bookmarkEnd w:id="2"/>
      <w:r>
        <w:rPr>
          <w:rFonts w:hint="eastAsia" w:ascii="仿宋" w:hAnsi="仿宋" w:eastAsia="仿宋"/>
          <w:b/>
          <w:color w:val="000000"/>
          <w:sz w:val="32"/>
          <w:szCs w:val="32"/>
        </w:rPr>
        <w:t>布局</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规划按照《国土空间调查、规划、用途管制用地用海分类指南》（试行）明确各地块的用地性质、控制指标。本次规划建设用地规模总量为</w:t>
      </w:r>
      <w:r>
        <w:rPr>
          <w:rFonts w:ascii="仿宋" w:hAnsi="仿宋" w:eastAsia="仿宋"/>
          <w:color w:val="000000" w:themeColor="text1"/>
          <w:sz w:val="30"/>
          <w:szCs w:val="30"/>
          <w14:textFill>
            <w14:solidFill>
              <w14:schemeClr w14:val="tx1"/>
            </w14:solidFill>
          </w14:textFill>
        </w:rPr>
        <w:t>654.26公顷</w:t>
      </w:r>
      <w:r>
        <w:rPr>
          <w:rFonts w:hint="eastAsia" w:ascii="仿宋" w:hAnsi="仿宋" w:eastAsia="仿宋"/>
          <w:color w:val="000000" w:themeColor="text1"/>
          <w:sz w:val="30"/>
          <w:szCs w:val="30"/>
          <w14:textFill>
            <w14:solidFill>
              <w14:schemeClr w14:val="tx1"/>
            </w14:solidFill>
          </w14:textFill>
        </w:rPr>
        <w:t>，</w:t>
      </w:r>
      <w:r>
        <w:rPr>
          <w:rFonts w:ascii="仿宋" w:hAnsi="仿宋" w:eastAsia="仿宋"/>
          <w:color w:val="000000" w:themeColor="text1"/>
          <w:sz w:val="30"/>
          <w:szCs w:val="30"/>
          <w14:textFill>
            <w14:solidFill>
              <w14:schemeClr w14:val="tx1"/>
            </w14:solidFill>
          </w14:textFill>
        </w:rPr>
        <w:t>非建设用地292.33公顷</w:t>
      </w:r>
      <w:r>
        <w:rPr>
          <w:rFonts w:hint="eastAsia" w:ascii="仿宋" w:hAnsi="仿宋" w:eastAsia="仿宋"/>
          <w:color w:val="000000" w:themeColor="text1"/>
          <w:sz w:val="30"/>
          <w:szCs w:val="30"/>
          <w14:textFill>
            <w14:solidFill>
              <w14:schemeClr w14:val="tx1"/>
            </w14:solidFill>
          </w14:textFill>
        </w:rPr>
        <w:t>。</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其中：</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规划区的居住用地面积</w:t>
      </w:r>
      <w:r>
        <w:rPr>
          <w:rFonts w:ascii="仿宋" w:hAnsi="仿宋" w:eastAsia="仿宋"/>
          <w:color w:val="000000" w:themeColor="text1"/>
          <w:sz w:val="30"/>
          <w:szCs w:val="30"/>
          <w14:textFill>
            <w14:solidFill>
              <w14:schemeClr w14:val="tx1"/>
            </w14:solidFill>
          </w14:textFill>
        </w:rPr>
        <w:t>140.20</w:t>
      </w:r>
      <w:r>
        <w:rPr>
          <w:rFonts w:hint="eastAsia" w:ascii="仿宋" w:hAnsi="仿宋" w:eastAsia="仿宋"/>
          <w:color w:val="000000" w:themeColor="text1"/>
          <w:sz w:val="30"/>
          <w:szCs w:val="30"/>
          <w14:textFill>
            <w14:solidFill>
              <w14:schemeClr w14:val="tx1"/>
            </w14:solidFill>
          </w14:textFill>
        </w:rPr>
        <w:t>公顷，占城市建设用地总量的</w:t>
      </w:r>
      <w:r>
        <w:rPr>
          <w:rFonts w:ascii="仿宋" w:hAnsi="仿宋" w:eastAsia="仿宋"/>
          <w:color w:val="000000" w:themeColor="text1"/>
          <w:sz w:val="30"/>
          <w:szCs w:val="30"/>
          <w14:textFill>
            <w14:solidFill>
              <w14:schemeClr w14:val="tx1"/>
            </w14:solidFill>
          </w14:textFill>
        </w:rPr>
        <w:t>21.43</w:t>
      </w:r>
      <w:r>
        <w:rPr>
          <w:rFonts w:hint="eastAsia" w:ascii="仿宋" w:hAnsi="仿宋" w:eastAsia="仿宋"/>
          <w:color w:val="000000" w:themeColor="text1"/>
          <w:sz w:val="30"/>
          <w:szCs w:val="30"/>
          <w14:textFill>
            <w14:solidFill>
              <w14:schemeClr w14:val="tx1"/>
            </w14:solidFill>
          </w14:textFill>
        </w:rPr>
        <w:t>%。</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公共管理与公共服务用地面积</w:t>
      </w:r>
      <w:r>
        <w:rPr>
          <w:rFonts w:ascii="仿宋" w:hAnsi="仿宋" w:eastAsia="仿宋"/>
          <w:color w:val="000000" w:themeColor="text1"/>
          <w:sz w:val="30"/>
          <w:szCs w:val="30"/>
          <w14:textFill>
            <w14:solidFill>
              <w14:schemeClr w14:val="tx1"/>
            </w14:solidFill>
          </w14:textFill>
        </w:rPr>
        <w:t>118.66公顷，占规划区建设</w:t>
      </w:r>
      <w:r>
        <w:rPr>
          <w:rFonts w:hint="eastAsia" w:ascii="仿宋" w:hAnsi="仿宋" w:eastAsia="仿宋"/>
          <w:color w:val="000000" w:themeColor="text1"/>
          <w:sz w:val="30"/>
          <w:szCs w:val="30"/>
          <w14:textFill>
            <w14:solidFill>
              <w14:schemeClr w14:val="tx1"/>
            </w14:solidFill>
          </w14:textFill>
        </w:rPr>
        <w:t>用地总量的</w:t>
      </w:r>
      <w:r>
        <w:rPr>
          <w:rFonts w:ascii="仿宋" w:hAnsi="仿宋" w:eastAsia="仿宋"/>
          <w:color w:val="000000" w:themeColor="text1"/>
          <w:sz w:val="30"/>
          <w:szCs w:val="30"/>
          <w14:textFill>
            <w14:solidFill>
              <w14:schemeClr w14:val="tx1"/>
            </w14:solidFill>
          </w14:textFill>
        </w:rPr>
        <w:t>18.14%</w:t>
      </w:r>
      <w:r>
        <w:rPr>
          <w:rFonts w:hint="eastAsia" w:ascii="仿宋" w:hAnsi="仿宋" w:eastAsia="仿宋"/>
          <w:color w:val="000000" w:themeColor="text1"/>
          <w:sz w:val="30"/>
          <w:szCs w:val="30"/>
          <w14:textFill>
            <w14:solidFill>
              <w14:schemeClr w14:val="tx1"/>
            </w14:solidFill>
          </w14:textFill>
        </w:rPr>
        <w:t>。</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ascii="仿宋" w:hAnsi="仿宋" w:eastAsia="仿宋"/>
          <w:color w:val="000000" w:themeColor="text1"/>
          <w:sz w:val="30"/>
          <w:szCs w:val="30"/>
          <w14:textFill>
            <w14:solidFill>
              <w14:schemeClr w14:val="tx1"/>
            </w14:solidFill>
          </w14:textFill>
        </w:rPr>
        <w:t>商业服务业用地</w:t>
      </w:r>
      <w:r>
        <w:rPr>
          <w:rFonts w:hint="eastAsia" w:ascii="仿宋" w:hAnsi="仿宋" w:eastAsia="仿宋"/>
          <w:color w:val="000000" w:themeColor="text1"/>
          <w:sz w:val="30"/>
          <w:szCs w:val="30"/>
          <w14:textFill>
            <w14:solidFill>
              <w14:schemeClr w14:val="tx1"/>
            </w14:solidFill>
          </w14:textFill>
        </w:rPr>
        <w:t>面积</w:t>
      </w:r>
      <w:r>
        <w:rPr>
          <w:rFonts w:ascii="仿宋" w:hAnsi="仿宋" w:eastAsia="仿宋"/>
          <w:color w:val="000000" w:themeColor="text1"/>
          <w:sz w:val="30"/>
          <w:szCs w:val="30"/>
          <w14:textFill>
            <w14:solidFill>
              <w14:schemeClr w14:val="tx1"/>
            </w14:solidFill>
          </w14:textFill>
        </w:rPr>
        <w:t>57.04公顷，占规</w:t>
      </w:r>
      <w:r>
        <w:rPr>
          <w:rFonts w:hint="eastAsia" w:ascii="仿宋" w:hAnsi="仿宋" w:eastAsia="仿宋"/>
          <w:color w:val="000000" w:themeColor="text1"/>
          <w:sz w:val="30"/>
          <w:szCs w:val="30"/>
          <w14:textFill>
            <w14:solidFill>
              <w14:schemeClr w14:val="tx1"/>
            </w14:solidFill>
          </w14:textFill>
        </w:rPr>
        <w:t>划区建设用地总量的</w:t>
      </w:r>
      <w:r>
        <w:rPr>
          <w:rFonts w:ascii="仿宋" w:hAnsi="仿宋" w:eastAsia="仿宋"/>
          <w:color w:val="000000" w:themeColor="text1"/>
          <w:sz w:val="30"/>
          <w:szCs w:val="30"/>
          <w14:textFill>
            <w14:solidFill>
              <w14:schemeClr w14:val="tx1"/>
            </w14:solidFill>
          </w14:textFill>
        </w:rPr>
        <w:t xml:space="preserve"> 8.72%</w:t>
      </w:r>
      <w:r>
        <w:rPr>
          <w:rFonts w:hint="eastAsia" w:ascii="仿宋" w:hAnsi="仿宋" w:eastAsia="仿宋"/>
          <w:color w:val="000000" w:themeColor="text1"/>
          <w:sz w:val="30"/>
          <w:szCs w:val="30"/>
          <w14:textFill>
            <w14:solidFill>
              <w14:schemeClr w14:val="tx1"/>
            </w14:solidFill>
          </w14:textFill>
        </w:rPr>
        <w:t>。</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工矿用地面积</w:t>
      </w:r>
      <w:r>
        <w:rPr>
          <w:rFonts w:ascii="仿宋" w:hAnsi="仿宋" w:eastAsia="仿宋"/>
          <w:color w:val="000000" w:themeColor="text1"/>
          <w:sz w:val="30"/>
          <w:szCs w:val="30"/>
          <w14:textFill>
            <w14:solidFill>
              <w14:schemeClr w14:val="tx1"/>
            </w14:solidFill>
          </w14:textFill>
        </w:rPr>
        <w:t>21.93公顷，占</w:t>
      </w:r>
      <w:r>
        <w:rPr>
          <w:rFonts w:hint="eastAsia" w:ascii="仿宋" w:hAnsi="仿宋" w:eastAsia="仿宋"/>
          <w:color w:val="000000" w:themeColor="text1"/>
          <w:sz w:val="30"/>
          <w:szCs w:val="30"/>
          <w14:textFill>
            <w14:solidFill>
              <w14:schemeClr w14:val="tx1"/>
            </w14:solidFill>
          </w14:textFill>
        </w:rPr>
        <w:t>规划区建设用地总量的</w:t>
      </w:r>
      <w:r>
        <w:rPr>
          <w:rFonts w:ascii="仿宋" w:hAnsi="仿宋" w:eastAsia="仿宋"/>
          <w:color w:val="000000" w:themeColor="text1"/>
          <w:sz w:val="30"/>
          <w:szCs w:val="30"/>
          <w14:textFill>
            <w14:solidFill>
              <w14:schemeClr w14:val="tx1"/>
            </w14:solidFill>
          </w14:textFill>
        </w:rPr>
        <w:t>3.35%</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ascii="仿宋" w:hAnsi="仿宋" w:eastAsia="仿宋"/>
          <w:color w:val="000000" w:themeColor="text1"/>
          <w:sz w:val="30"/>
          <w:szCs w:val="30"/>
          <w14:textFill>
            <w14:solidFill>
              <w14:schemeClr w14:val="tx1"/>
            </w14:solidFill>
          </w14:textFill>
        </w:rPr>
        <w:t>道路交通运输用地</w:t>
      </w:r>
      <w:r>
        <w:rPr>
          <w:rFonts w:hint="eastAsia" w:ascii="仿宋" w:hAnsi="仿宋" w:eastAsia="仿宋"/>
          <w:color w:val="000000" w:themeColor="text1"/>
          <w:sz w:val="30"/>
          <w:szCs w:val="30"/>
          <w14:textFill>
            <w14:solidFill>
              <w14:schemeClr w14:val="tx1"/>
            </w14:solidFill>
          </w14:textFill>
        </w:rPr>
        <w:t>面积</w:t>
      </w:r>
      <w:r>
        <w:rPr>
          <w:rFonts w:ascii="仿宋" w:hAnsi="仿宋" w:eastAsia="仿宋"/>
          <w:color w:val="000000" w:themeColor="text1"/>
          <w:sz w:val="30"/>
          <w:szCs w:val="30"/>
          <w14:textFill>
            <w14:solidFill>
              <w14:schemeClr w14:val="tx1"/>
            </w14:solidFill>
          </w14:textFill>
        </w:rPr>
        <w:t>178.30</w:t>
      </w:r>
      <w:r>
        <w:rPr>
          <w:rFonts w:hint="eastAsia" w:ascii="仿宋" w:hAnsi="仿宋" w:eastAsia="仿宋"/>
          <w:color w:val="000000" w:themeColor="text1"/>
          <w:sz w:val="30"/>
          <w:szCs w:val="30"/>
          <w14:textFill>
            <w14:solidFill>
              <w14:schemeClr w14:val="tx1"/>
            </w14:solidFill>
          </w14:textFill>
        </w:rPr>
        <w:t>公顷，占规划区建设用地总量的</w:t>
      </w:r>
      <w:r>
        <w:rPr>
          <w:rFonts w:ascii="仿宋" w:hAnsi="仿宋" w:eastAsia="仿宋"/>
          <w:color w:val="000000" w:themeColor="text1"/>
          <w:sz w:val="30"/>
          <w:szCs w:val="30"/>
          <w14:textFill>
            <w14:solidFill>
              <w14:schemeClr w14:val="tx1"/>
            </w14:solidFill>
          </w14:textFill>
        </w:rPr>
        <w:t>27.25%</w:t>
      </w:r>
      <w:r>
        <w:rPr>
          <w:rFonts w:hint="eastAsia" w:ascii="仿宋" w:hAnsi="仿宋" w:eastAsia="仿宋"/>
          <w:color w:val="000000" w:themeColor="text1"/>
          <w:sz w:val="30"/>
          <w:szCs w:val="30"/>
          <w14:textFill>
            <w14:solidFill>
              <w14:schemeClr w14:val="tx1"/>
            </w14:solidFill>
          </w14:textFill>
        </w:rPr>
        <w:t>。</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ascii="仿宋" w:hAnsi="仿宋" w:eastAsia="仿宋"/>
          <w:color w:val="000000" w:themeColor="text1"/>
          <w:sz w:val="30"/>
          <w:szCs w:val="30"/>
          <w14:textFill>
            <w14:solidFill>
              <w14:schemeClr w14:val="tx1"/>
            </w14:solidFill>
          </w14:textFill>
        </w:rPr>
        <w:t>公用设施用地</w:t>
      </w:r>
      <w:r>
        <w:rPr>
          <w:rFonts w:hint="eastAsia" w:ascii="仿宋" w:hAnsi="仿宋" w:eastAsia="仿宋"/>
          <w:color w:val="000000" w:themeColor="text1"/>
          <w:sz w:val="30"/>
          <w:szCs w:val="30"/>
          <w14:textFill>
            <w14:solidFill>
              <w14:schemeClr w14:val="tx1"/>
            </w14:solidFill>
          </w14:textFill>
        </w:rPr>
        <w:t>面积</w:t>
      </w:r>
      <w:r>
        <w:rPr>
          <w:rFonts w:ascii="仿宋" w:hAnsi="仿宋" w:eastAsia="仿宋"/>
          <w:color w:val="000000" w:themeColor="text1"/>
          <w:sz w:val="30"/>
          <w:szCs w:val="30"/>
          <w14:textFill>
            <w14:solidFill>
              <w14:schemeClr w14:val="tx1"/>
            </w14:solidFill>
          </w14:textFill>
        </w:rPr>
        <w:t>14.19公顷，占规划区建设用地总量的 2.17%</w:t>
      </w:r>
      <w:r>
        <w:rPr>
          <w:rFonts w:hint="eastAsia" w:ascii="仿宋" w:hAnsi="仿宋" w:eastAsia="仿宋"/>
          <w:color w:val="000000" w:themeColor="text1"/>
          <w:sz w:val="30"/>
          <w:szCs w:val="30"/>
          <w14:textFill>
            <w14:solidFill>
              <w14:schemeClr w14:val="tx1"/>
            </w14:solidFill>
          </w14:textFill>
        </w:rPr>
        <w:t>。</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ascii="仿宋" w:hAnsi="仿宋" w:eastAsia="仿宋"/>
          <w:color w:val="000000" w:themeColor="text1"/>
          <w:sz w:val="30"/>
          <w:szCs w:val="30"/>
          <w14:textFill>
            <w14:solidFill>
              <w14:schemeClr w14:val="tx1"/>
            </w14:solidFill>
          </w14:textFill>
        </w:rPr>
        <w:t>绿地与开敞空</w:t>
      </w:r>
      <w:r>
        <w:rPr>
          <w:rFonts w:hint="eastAsia" w:ascii="仿宋" w:hAnsi="仿宋" w:eastAsia="仿宋"/>
          <w:color w:val="000000" w:themeColor="text1"/>
          <w:sz w:val="30"/>
          <w:szCs w:val="30"/>
          <w14:textFill>
            <w14:solidFill>
              <w14:schemeClr w14:val="tx1"/>
            </w14:solidFill>
          </w14:textFill>
        </w:rPr>
        <w:t>间用地面积</w:t>
      </w:r>
      <w:r>
        <w:rPr>
          <w:rFonts w:ascii="仿宋" w:hAnsi="仿宋" w:eastAsia="仿宋"/>
          <w:color w:val="000000" w:themeColor="text1"/>
          <w:sz w:val="30"/>
          <w:szCs w:val="30"/>
          <w14:textFill>
            <w14:solidFill>
              <w14:schemeClr w14:val="tx1"/>
            </w14:solidFill>
          </w14:textFill>
        </w:rPr>
        <w:t>108.37公顷，占规划区建设用地总量的16.56%。</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留白用地面积1</w:t>
      </w:r>
      <w:r>
        <w:rPr>
          <w:rFonts w:ascii="仿宋" w:hAnsi="仿宋" w:eastAsia="仿宋"/>
          <w:color w:val="000000" w:themeColor="text1"/>
          <w:sz w:val="30"/>
          <w:szCs w:val="30"/>
          <w14:textFill>
            <w14:solidFill>
              <w14:schemeClr w14:val="tx1"/>
            </w14:solidFill>
          </w14:textFill>
        </w:rPr>
        <w:t>5.57</w:t>
      </w:r>
      <w:r>
        <w:rPr>
          <w:rFonts w:hint="eastAsia" w:ascii="仿宋" w:hAnsi="仿宋" w:eastAsia="仿宋"/>
          <w:color w:val="000000" w:themeColor="text1"/>
          <w:sz w:val="30"/>
          <w:szCs w:val="30"/>
          <w14:textFill>
            <w14:solidFill>
              <w14:schemeClr w14:val="tx1"/>
            </w14:solidFill>
          </w14:textFill>
        </w:rPr>
        <w:t>公顷，</w:t>
      </w:r>
      <w:r>
        <w:rPr>
          <w:rFonts w:ascii="仿宋" w:hAnsi="仿宋" w:eastAsia="仿宋"/>
          <w:color w:val="000000" w:themeColor="text1"/>
          <w:sz w:val="30"/>
          <w:szCs w:val="30"/>
          <w14:textFill>
            <w14:solidFill>
              <w14:schemeClr w14:val="tx1"/>
            </w14:solidFill>
          </w14:textFill>
        </w:rPr>
        <w:t>占规划区建设用地总量的2.38%。</w:t>
      </w:r>
    </w:p>
    <w:p>
      <w:pPr>
        <w:numPr>
          <w:ilvl w:val="0"/>
          <w:numId w:val="3"/>
        </w:numPr>
        <w:jc w:val="left"/>
        <w:rPr>
          <w:rFonts w:ascii="仿宋" w:hAnsi="仿宋" w:eastAsia="仿宋"/>
          <w:b/>
          <w:color w:val="000000"/>
          <w:sz w:val="32"/>
          <w:szCs w:val="32"/>
        </w:rPr>
      </w:pPr>
      <w:r>
        <w:rPr>
          <w:rFonts w:hint="eastAsia" w:ascii="仿宋" w:hAnsi="仿宋" w:eastAsia="仿宋"/>
          <w:b/>
          <w:color w:val="000000"/>
          <w:sz w:val="32"/>
          <w:szCs w:val="32"/>
        </w:rPr>
        <w:t>公共服务设施布局</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以符合国际标准的优质公共服务支撑抱坡片区作为三亚市新的公共服中心，重点补充三亚公共服务短板，同时构建区域共享、满足基础生活服务需求的公共服务设施网络。</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公共管理与公共服务用地面积</w:t>
      </w:r>
      <w:r>
        <w:rPr>
          <w:rFonts w:ascii="仿宋" w:hAnsi="仿宋" w:eastAsia="仿宋"/>
          <w:color w:val="000000" w:themeColor="text1"/>
          <w:sz w:val="30"/>
          <w:szCs w:val="30"/>
          <w14:textFill>
            <w14:solidFill>
              <w14:schemeClr w14:val="tx1"/>
            </w14:solidFill>
          </w14:textFill>
        </w:rPr>
        <w:t>118.66公顷，占规划区建设</w:t>
      </w:r>
      <w:r>
        <w:rPr>
          <w:rFonts w:hint="eastAsia" w:ascii="仿宋" w:hAnsi="仿宋" w:eastAsia="仿宋"/>
          <w:color w:val="000000" w:themeColor="text1"/>
          <w:sz w:val="30"/>
          <w:szCs w:val="30"/>
          <w14:textFill>
            <w14:solidFill>
              <w14:schemeClr w14:val="tx1"/>
            </w14:solidFill>
          </w14:textFill>
        </w:rPr>
        <w:t>用地总量的</w:t>
      </w:r>
      <w:r>
        <w:rPr>
          <w:rFonts w:ascii="仿宋" w:hAnsi="仿宋" w:eastAsia="仿宋"/>
          <w:color w:val="000000" w:themeColor="text1"/>
          <w:sz w:val="30"/>
          <w:szCs w:val="30"/>
          <w14:textFill>
            <w14:solidFill>
              <w14:schemeClr w14:val="tx1"/>
            </w14:solidFill>
          </w14:textFill>
        </w:rPr>
        <w:t>18.14%</w:t>
      </w:r>
      <w:r>
        <w:rPr>
          <w:rFonts w:hint="eastAsia" w:ascii="仿宋" w:hAnsi="仿宋" w:eastAsia="仿宋"/>
          <w:color w:val="000000" w:themeColor="text1"/>
          <w:sz w:val="30"/>
          <w:szCs w:val="30"/>
          <w14:textFill>
            <w14:solidFill>
              <w14:schemeClr w14:val="tx1"/>
            </w14:solidFill>
          </w14:textFill>
        </w:rPr>
        <w:t>。其中:</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教育设施：抱坡现有</w:t>
      </w:r>
      <w:r>
        <w:rPr>
          <w:rFonts w:ascii="仿宋" w:hAnsi="仿宋" w:eastAsia="仿宋"/>
          <w:color w:val="000000" w:themeColor="text1"/>
          <w:sz w:val="30"/>
          <w:szCs w:val="30"/>
          <w14:textFill>
            <w14:solidFill>
              <w14:schemeClr w14:val="tx1"/>
            </w14:solidFill>
          </w14:textFill>
        </w:rPr>
        <w:t>1处高中和1处职业学校，规划布局3处小学、4处九年一贯制学校</w:t>
      </w:r>
      <w:r>
        <w:rPr>
          <w:rFonts w:hint="eastAsia" w:ascii="仿宋" w:hAnsi="仿宋" w:eastAsia="仿宋"/>
          <w:color w:val="000000" w:themeColor="text1"/>
          <w:sz w:val="30"/>
          <w:szCs w:val="30"/>
          <w14:textFill>
            <w14:solidFill>
              <w14:schemeClr w14:val="tx1"/>
            </w14:solidFill>
          </w14:textFill>
        </w:rPr>
        <w:t>。</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医疗设施：</w:t>
      </w:r>
      <w:r>
        <w:rPr>
          <w:rFonts w:hint="eastAsia" w:ascii="仿宋" w:hAnsi="仿宋" w:eastAsia="仿宋"/>
          <w:sz w:val="30"/>
          <w:szCs w:val="30"/>
        </w:rPr>
        <w:t>规划选址布局1处市级公立医院</w:t>
      </w:r>
      <w:r>
        <w:rPr>
          <w:rFonts w:hint="eastAsia" w:ascii="仿宋" w:hAnsi="仿宋" w:eastAsia="仿宋"/>
          <w:color w:val="000000" w:themeColor="text1"/>
          <w:sz w:val="30"/>
          <w:szCs w:val="30"/>
          <w14:textFill>
            <w14:solidFill>
              <w14:schemeClr w14:val="tx1"/>
            </w14:solidFill>
          </w14:textFill>
        </w:rPr>
        <w:t>，</w:t>
      </w:r>
      <w:r>
        <w:rPr>
          <w:rFonts w:ascii="仿宋" w:hAnsi="仿宋" w:eastAsia="仿宋"/>
          <w:color w:val="000000" w:themeColor="text1"/>
          <w:sz w:val="30"/>
          <w:szCs w:val="30"/>
          <w14:textFill>
            <w14:solidFill>
              <w14:schemeClr w14:val="tx1"/>
            </w14:solidFill>
          </w14:textFill>
        </w:rPr>
        <w:t>结合生活圈设置2处社区卫生服务中心，并配建若干卫生站。</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福利设施：规划布局</w:t>
      </w:r>
      <w:r>
        <w:rPr>
          <w:rFonts w:ascii="仿宋" w:hAnsi="仿宋" w:eastAsia="仿宋"/>
          <w:color w:val="000000" w:themeColor="text1"/>
          <w:sz w:val="30"/>
          <w:szCs w:val="30"/>
          <w14:textFill>
            <w14:solidFill>
              <w14:schemeClr w14:val="tx1"/>
            </w14:solidFill>
          </w14:textFill>
        </w:rPr>
        <w:t>1处片区级养老院，并配建若干老年日间照料中心。</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文化设施：建设三亚市文化中心，含博物馆、档案馆、美术馆、科技馆、市体育中心等城市文化设施，结合中央稻田公园周边预留若干小型文化设施用地，</w:t>
      </w:r>
      <w:r>
        <w:rPr>
          <w:rFonts w:ascii="仿宋" w:hAnsi="仿宋" w:eastAsia="仿宋"/>
          <w:color w:val="000000" w:themeColor="text1"/>
          <w:sz w:val="30"/>
          <w:szCs w:val="30"/>
          <w14:textFill>
            <w14:solidFill>
              <w14:schemeClr w14:val="tx1"/>
            </w14:solidFill>
          </w14:textFill>
        </w:rPr>
        <w:t>结合生活圈</w:t>
      </w:r>
      <w:r>
        <w:rPr>
          <w:rFonts w:hint="eastAsia" w:ascii="仿宋" w:hAnsi="仿宋" w:eastAsia="仿宋"/>
          <w:color w:val="000000" w:themeColor="text1"/>
          <w:sz w:val="30"/>
          <w:szCs w:val="30"/>
          <w14:textFill>
            <w14:solidFill>
              <w14:schemeClr w14:val="tx1"/>
            </w14:solidFill>
          </w14:textFill>
        </w:rPr>
        <w:t>设置</w:t>
      </w:r>
      <w:r>
        <w:rPr>
          <w:rFonts w:ascii="仿宋" w:hAnsi="仿宋" w:eastAsia="仿宋"/>
          <w:color w:val="000000" w:themeColor="text1"/>
          <w:sz w:val="30"/>
          <w:szCs w:val="30"/>
          <w14:textFill>
            <w14:solidFill>
              <w14:schemeClr w14:val="tx1"/>
            </w14:solidFill>
          </w14:textFill>
        </w:rPr>
        <w:t>2处社区级文</w:t>
      </w:r>
      <w:r>
        <w:rPr>
          <w:rFonts w:hint="eastAsia" w:ascii="仿宋" w:hAnsi="仿宋" w:eastAsia="仿宋"/>
          <w:color w:val="000000" w:themeColor="text1"/>
          <w:sz w:val="30"/>
          <w:szCs w:val="30"/>
          <w14:textFill>
            <w14:solidFill>
              <w14:schemeClr w14:val="tx1"/>
            </w14:solidFill>
          </w14:textFill>
        </w:rPr>
        <w:t>化</w:t>
      </w:r>
      <w:r>
        <w:rPr>
          <w:rFonts w:ascii="仿宋" w:hAnsi="仿宋" w:eastAsia="仿宋"/>
          <w:color w:val="000000" w:themeColor="text1"/>
          <w:sz w:val="30"/>
          <w:szCs w:val="30"/>
          <w14:textFill>
            <w14:solidFill>
              <w14:schemeClr w14:val="tx1"/>
            </w14:solidFill>
          </w14:textFill>
        </w:rPr>
        <w:t>活动中心，并配建若干文</w:t>
      </w:r>
      <w:r>
        <w:rPr>
          <w:rFonts w:hint="eastAsia" w:ascii="仿宋" w:hAnsi="仿宋" w:eastAsia="仿宋"/>
          <w:color w:val="000000" w:themeColor="text1"/>
          <w:sz w:val="30"/>
          <w:szCs w:val="30"/>
          <w14:textFill>
            <w14:solidFill>
              <w14:schemeClr w14:val="tx1"/>
            </w14:solidFill>
          </w14:textFill>
        </w:rPr>
        <w:t>化</w:t>
      </w:r>
      <w:r>
        <w:rPr>
          <w:rFonts w:ascii="仿宋" w:hAnsi="仿宋" w:eastAsia="仿宋"/>
          <w:color w:val="000000" w:themeColor="text1"/>
          <w:sz w:val="30"/>
          <w:szCs w:val="30"/>
          <w14:textFill>
            <w14:solidFill>
              <w14:schemeClr w14:val="tx1"/>
            </w14:solidFill>
          </w14:textFill>
        </w:rPr>
        <w:t>活动站。</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r>
        <w:rPr>
          <w:rFonts w:hint="eastAsia" w:ascii="仿宋" w:hAnsi="仿宋" w:eastAsia="仿宋"/>
          <w:color w:val="000000" w:themeColor="text1"/>
          <w:sz w:val="30"/>
          <w:szCs w:val="30"/>
          <w14:textFill>
            <w14:solidFill>
              <w14:schemeClr w14:val="tx1"/>
            </w14:solidFill>
          </w14:textFill>
        </w:rPr>
        <w:t>体育设施：建设三亚市体育中心以及预留业余体校选址</w:t>
      </w:r>
      <w:r>
        <w:rPr>
          <w:rFonts w:ascii="仿宋" w:hAnsi="仿宋" w:eastAsia="仿宋"/>
          <w:color w:val="000000" w:themeColor="text1"/>
          <w:sz w:val="30"/>
          <w:szCs w:val="30"/>
          <w14:textFill>
            <w14:solidFill>
              <w14:schemeClr w14:val="tx1"/>
            </w14:solidFill>
          </w14:textFill>
        </w:rPr>
        <w:t>。同时，积极响应体育强国战略，在抱坡岭山前及山脚处打造生态体育公园，提供全民运动空间。</w:t>
      </w:r>
    </w:p>
    <w:p>
      <w:pPr>
        <w:spacing w:before="156" w:beforeLines="50" w:after="156" w:afterLines="50" w:line="500" w:lineRule="exact"/>
        <w:ind w:firstLine="600" w:firstLineChars="200"/>
        <w:rPr>
          <w:rFonts w:ascii="仿宋" w:hAnsi="仿宋" w:eastAsia="仿宋"/>
          <w:color w:val="000000" w:themeColor="text1"/>
          <w:sz w:val="30"/>
          <w:szCs w:val="30"/>
          <w14:textFill>
            <w14:solidFill>
              <w14:schemeClr w14:val="tx1"/>
            </w14:solidFill>
          </w14:textFill>
        </w:rPr>
      </w:pPr>
    </w:p>
    <w:p>
      <w:pPr>
        <w:numPr>
          <w:ilvl w:val="0"/>
          <w:numId w:val="3"/>
        </w:numPr>
        <w:jc w:val="left"/>
        <w:rPr>
          <w:rFonts w:ascii="仿宋" w:hAnsi="仿宋" w:eastAsia="仿宋"/>
          <w:b/>
          <w:color w:val="000000"/>
          <w:sz w:val="32"/>
          <w:szCs w:val="32"/>
        </w:rPr>
      </w:pPr>
      <w:r>
        <w:rPr>
          <w:rFonts w:hint="eastAsia" w:ascii="仿宋" w:hAnsi="仿宋" w:eastAsia="仿宋"/>
          <w:b/>
          <w:color w:val="000000"/>
          <w:sz w:val="32"/>
          <w:szCs w:val="32"/>
        </w:rPr>
        <w:t>土地使用强度控制</w:t>
      </w:r>
    </w:p>
    <w:p>
      <w:pPr>
        <w:pStyle w:val="61"/>
        <w:numPr>
          <w:ilvl w:val="0"/>
          <w:numId w:val="4"/>
        </w:numPr>
        <w:spacing w:before="10" w:after="10" w:line="500" w:lineRule="exact"/>
        <w:ind w:firstLineChars="0"/>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建筑高度控制</w:t>
      </w:r>
    </w:p>
    <w:p>
      <w:pPr>
        <w:pStyle w:val="59"/>
        <w:spacing w:line="520" w:lineRule="exact"/>
        <w:ind w:firstLine="567" w:firstLineChars="189"/>
        <w:rPr>
          <w:rFonts w:ascii="仿宋" w:hAnsi="仿宋" w:eastAsia="仿宋"/>
          <w:color w:val="000000"/>
          <w:sz w:val="30"/>
          <w:szCs w:val="30"/>
        </w:rPr>
      </w:pPr>
      <w:r>
        <w:rPr>
          <w:rFonts w:hint="eastAsia" w:ascii="仿宋" w:hAnsi="仿宋" w:eastAsia="仿宋"/>
          <w:color w:val="000000"/>
          <w:sz w:val="30"/>
          <w:szCs w:val="30"/>
        </w:rPr>
        <w:t>协调已建建筑高度，对新建设的建筑高度进行控制，丰富建筑高度层次，营造富于变化的天际轮廓线。原则确定五类高度控制区。</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一级控制区：</w:t>
      </w:r>
      <w:r>
        <w:rPr>
          <w:rFonts w:hint="eastAsia" w:ascii="仿宋" w:hAnsi="仿宋" w:eastAsia="仿宋"/>
          <w:color w:val="000000"/>
          <w:sz w:val="30"/>
          <w:szCs w:val="30"/>
        </w:rPr>
        <w:t>建筑高度原则上宜≤</w:t>
      </w:r>
      <w:r>
        <w:rPr>
          <w:rFonts w:ascii="仿宋" w:hAnsi="仿宋" w:eastAsia="仿宋"/>
          <w:color w:val="000000"/>
          <w:sz w:val="30"/>
          <w:szCs w:val="30"/>
        </w:rPr>
        <w:t>24米。主要位于抱坡岭山边、中央稻田公园内及公共服务类地块，应以低层、多层建筑为主。</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二级控制区：</w:t>
      </w:r>
      <w:r>
        <w:rPr>
          <w:rFonts w:hint="eastAsia" w:ascii="仿宋" w:hAnsi="仿宋" w:eastAsia="仿宋"/>
          <w:color w:val="000000"/>
          <w:sz w:val="30"/>
          <w:szCs w:val="30"/>
        </w:rPr>
        <w:t>建筑高度原则上宜≤</w:t>
      </w:r>
      <w:r>
        <w:rPr>
          <w:rFonts w:ascii="仿宋" w:hAnsi="仿宋" w:eastAsia="仿宋"/>
          <w:color w:val="000000"/>
          <w:sz w:val="30"/>
          <w:szCs w:val="30"/>
        </w:rPr>
        <w:t>45米。主要位于为政务组团、文化组团、体育组团以及重要视廊周边的新建建筑。</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三级控制区：</w:t>
      </w:r>
      <w:r>
        <w:rPr>
          <w:rFonts w:hint="eastAsia" w:ascii="仿宋" w:hAnsi="仿宋" w:eastAsia="仿宋"/>
          <w:color w:val="000000"/>
          <w:sz w:val="30"/>
          <w:szCs w:val="30"/>
        </w:rPr>
        <w:t>建筑高度原则上宜≤</w:t>
      </w:r>
      <w:r>
        <w:rPr>
          <w:rFonts w:ascii="仿宋" w:hAnsi="仿宋" w:eastAsia="仿宋"/>
          <w:color w:val="000000"/>
          <w:sz w:val="30"/>
          <w:szCs w:val="30"/>
        </w:rPr>
        <w:t>80米。主要为现状在建安置区、保障房及宜居社区；以及高铁站北广场的TOD开发区和商务办公区。该区域需协调对整体天际轮廓线的影响。</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四级控制区：</w:t>
      </w:r>
      <w:r>
        <w:rPr>
          <w:rFonts w:hint="eastAsia" w:ascii="仿宋" w:hAnsi="仿宋" w:eastAsia="仿宋"/>
          <w:color w:val="000000"/>
          <w:sz w:val="30"/>
          <w:szCs w:val="30"/>
        </w:rPr>
        <w:t>建筑高度原则上宜≤</w:t>
      </w:r>
      <w:r>
        <w:rPr>
          <w:rFonts w:ascii="仿宋" w:hAnsi="仿宋" w:eastAsia="仿宋"/>
          <w:color w:val="000000"/>
          <w:sz w:val="30"/>
          <w:szCs w:val="30"/>
        </w:rPr>
        <w:t>100米。主要为沿鹿城大道路、抱坡路主要道路节点两侧布局的商务办公建筑。</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超过</w:t>
      </w:r>
      <w:r>
        <w:rPr>
          <w:rFonts w:ascii="仿宋" w:hAnsi="仿宋" w:eastAsia="仿宋"/>
          <w:b/>
          <w:bCs/>
          <w:color w:val="000000"/>
          <w:sz w:val="30"/>
          <w:szCs w:val="30"/>
        </w:rPr>
        <w:t xml:space="preserve"> 100 米的建筑：</w:t>
      </w:r>
      <w:r>
        <w:rPr>
          <w:rFonts w:ascii="仿宋" w:hAnsi="仿宋" w:eastAsia="仿宋"/>
          <w:color w:val="000000"/>
          <w:sz w:val="30"/>
          <w:szCs w:val="30"/>
        </w:rPr>
        <w:t>集中于抱坡路与鹿城大道交汇处的地标建筑群组，建议对地标建筑进行多方案比选，并开展高度论证。[备注：规划区内已批用地的建筑高度依据已批规划或已批相关政府文件具体执行。建筑的限高应符合机场净空要求，并征询机场部门的建议。]</w:t>
      </w:r>
    </w:p>
    <w:p>
      <w:pPr>
        <w:pStyle w:val="59"/>
        <w:spacing w:line="520" w:lineRule="exact"/>
        <w:ind w:firstLine="567" w:firstLineChars="189"/>
        <w:rPr>
          <w:rFonts w:ascii="仿宋" w:hAnsi="仿宋" w:eastAsia="仿宋"/>
          <w:color w:val="000000"/>
          <w:sz w:val="30"/>
          <w:szCs w:val="30"/>
        </w:rPr>
      </w:pPr>
    </w:p>
    <w:p>
      <w:pPr>
        <w:pStyle w:val="61"/>
        <w:numPr>
          <w:ilvl w:val="0"/>
          <w:numId w:val="4"/>
        </w:numPr>
        <w:spacing w:before="10" w:after="10" w:line="500" w:lineRule="exact"/>
        <w:ind w:firstLineChars="0"/>
        <w:rPr>
          <w:rFonts w:ascii="仿宋" w:hAnsi="仿宋" w:eastAsia="仿宋"/>
          <w:b/>
          <w:color w:val="000000" w:themeColor="text1"/>
          <w:sz w:val="30"/>
          <w:szCs w:val="30"/>
          <w14:textFill>
            <w14:solidFill>
              <w14:schemeClr w14:val="tx1"/>
            </w14:solidFill>
          </w14:textFill>
        </w:rPr>
      </w:pPr>
      <w:r>
        <w:rPr>
          <w:rFonts w:hint="eastAsia" w:ascii="仿宋" w:hAnsi="仿宋" w:eastAsia="仿宋"/>
          <w:b/>
          <w:color w:val="000000" w:themeColor="text1"/>
          <w:sz w:val="30"/>
          <w:szCs w:val="30"/>
          <w14:textFill>
            <w14:solidFill>
              <w14:schemeClr w14:val="tx1"/>
            </w14:solidFill>
          </w14:textFill>
        </w:rPr>
        <w:t>开发强度控制</w:t>
      </w:r>
    </w:p>
    <w:p>
      <w:pPr>
        <w:pStyle w:val="59"/>
        <w:spacing w:line="520" w:lineRule="exact"/>
        <w:ind w:firstLine="567" w:firstLineChars="189"/>
        <w:rPr>
          <w:rFonts w:ascii="仿宋" w:hAnsi="仿宋" w:eastAsia="仿宋"/>
          <w:color w:val="000000"/>
          <w:sz w:val="30"/>
          <w:szCs w:val="30"/>
        </w:rPr>
      </w:pPr>
      <w:r>
        <w:rPr>
          <w:rFonts w:hint="eastAsia" w:ascii="仿宋" w:hAnsi="仿宋" w:eastAsia="仿宋"/>
          <w:color w:val="000000"/>
          <w:sz w:val="30"/>
          <w:szCs w:val="30"/>
        </w:rPr>
        <w:t>综合考虑规划区的建设现状、空间结构及功能布局等因素，原则确定四类开发强度控制区。</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一级控制区：</w:t>
      </w:r>
      <w:r>
        <w:rPr>
          <w:rFonts w:hint="eastAsia" w:ascii="仿宋" w:hAnsi="仿宋" w:eastAsia="仿宋"/>
          <w:color w:val="000000"/>
          <w:sz w:val="30"/>
          <w:szCs w:val="30"/>
        </w:rPr>
        <w:t>开发建设强度原则上宜≤</w:t>
      </w:r>
      <w:r>
        <w:rPr>
          <w:rFonts w:ascii="仿宋" w:hAnsi="仿宋" w:eastAsia="仿宋"/>
          <w:color w:val="000000"/>
          <w:sz w:val="30"/>
          <w:szCs w:val="30"/>
        </w:rPr>
        <w:t>1.0。少量位于抱坡岭山边、绿楔两侧及公共服务类地块，应进行低强度的开发建设。</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二级控制区：</w:t>
      </w:r>
      <w:r>
        <w:rPr>
          <w:rFonts w:hint="eastAsia" w:ascii="仿宋" w:hAnsi="仿宋" w:eastAsia="仿宋"/>
          <w:color w:val="000000"/>
          <w:sz w:val="30"/>
          <w:szCs w:val="30"/>
        </w:rPr>
        <w:t>开发建设强度原则上宜≤</w:t>
      </w:r>
      <w:r>
        <w:rPr>
          <w:rFonts w:ascii="仿宋" w:hAnsi="仿宋" w:eastAsia="仿宋"/>
          <w:color w:val="000000"/>
          <w:sz w:val="30"/>
          <w:szCs w:val="30"/>
        </w:rPr>
        <w:t>1.5。主要为公共服务类地块，应进行中低强度的开发建设。</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三级控制区：</w:t>
      </w:r>
      <w:r>
        <w:rPr>
          <w:rFonts w:hint="eastAsia" w:ascii="仿宋" w:hAnsi="仿宋" w:eastAsia="仿宋"/>
          <w:color w:val="000000"/>
          <w:sz w:val="30"/>
          <w:szCs w:val="30"/>
        </w:rPr>
        <w:t>开发建设强度原则上宜≤</w:t>
      </w:r>
      <w:r>
        <w:rPr>
          <w:rFonts w:ascii="仿宋" w:hAnsi="仿宋" w:eastAsia="仿宋"/>
          <w:color w:val="000000"/>
          <w:sz w:val="30"/>
          <w:szCs w:val="30"/>
        </w:rPr>
        <w:t>2.5。主要为政务组团、文化组团、体育组团及宜居社区，应进行中等强度的开发建设，注重协调与山体、农田的关系。</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四级控制区：</w:t>
      </w:r>
      <w:r>
        <w:rPr>
          <w:rFonts w:hint="eastAsia" w:ascii="仿宋" w:hAnsi="仿宋" w:eastAsia="仿宋"/>
          <w:color w:val="000000"/>
          <w:sz w:val="30"/>
          <w:szCs w:val="30"/>
        </w:rPr>
        <w:t>开发建设强度原则上宜≤</w:t>
      </w:r>
      <w:r>
        <w:rPr>
          <w:rFonts w:ascii="仿宋" w:hAnsi="仿宋" w:eastAsia="仿宋"/>
          <w:color w:val="000000"/>
          <w:sz w:val="30"/>
          <w:szCs w:val="30"/>
        </w:rPr>
        <w:t>3.5。为沿海润路、鹿城大道、抱坡路等主要道路节点两侧商务办公建筑群以及高铁站北广场附近TOD开发片区，规划为抱坡高价值紧凑开发片区。在进行开发建设时，需注重界面和空间形态的塑造。</w:t>
      </w:r>
    </w:p>
    <w:p>
      <w:pPr>
        <w:pStyle w:val="59"/>
        <w:spacing w:line="520" w:lineRule="exact"/>
        <w:ind w:firstLine="569" w:firstLineChars="189"/>
        <w:rPr>
          <w:rFonts w:ascii="仿宋" w:hAnsi="仿宋" w:eastAsia="仿宋"/>
          <w:color w:val="000000"/>
          <w:sz w:val="30"/>
          <w:szCs w:val="30"/>
        </w:rPr>
      </w:pPr>
      <w:r>
        <w:rPr>
          <w:rFonts w:hint="eastAsia" w:ascii="仿宋" w:hAnsi="仿宋" w:eastAsia="仿宋"/>
          <w:b/>
          <w:bCs/>
          <w:color w:val="000000"/>
          <w:sz w:val="30"/>
          <w:szCs w:val="30"/>
        </w:rPr>
        <w:t>开发建设强度大于</w:t>
      </w:r>
      <w:r>
        <w:rPr>
          <w:rFonts w:ascii="仿宋" w:hAnsi="仿宋" w:eastAsia="仿宋"/>
          <w:b/>
          <w:bCs/>
          <w:color w:val="000000"/>
          <w:sz w:val="30"/>
          <w:szCs w:val="30"/>
        </w:rPr>
        <w:t xml:space="preserve"> 3.5 的片区：</w:t>
      </w:r>
      <w:r>
        <w:rPr>
          <w:rFonts w:ascii="仿宋" w:hAnsi="仿宋" w:eastAsia="仿宋"/>
          <w:color w:val="000000"/>
          <w:sz w:val="30"/>
          <w:szCs w:val="30"/>
        </w:rPr>
        <w:t>仅限于地标建筑地块，高强度开发地块建议进行多方案比选，必要时需根据实际情况开展论证。[备注：规划区内已批用地的容积率依据已批规划或已批相关政府文件具体执行。]</w:t>
      </w:r>
    </w:p>
    <w:p>
      <w:pPr>
        <w:pStyle w:val="59"/>
        <w:spacing w:line="520" w:lineRule="exact"/>
        <w:ind w:firstLine="567" w:firstLineChars="189"/>
        <w:rPr>
          <w:rFonts w:ascii="仿宋" w:hAnsi="仿宋" w:eastAsia="仿宋"/>
          <w:color w:val="000000"/>
          <w:sz w:val="30"/>
          <w:szCs w:val="30"/>
        </w:rPr>
      </w:pPr>
    </w:p>
    <w:p>
      <w:pPr>
        <w:numPr>
          <w:ilvl w:val="0"/>
          <w:numId w:val="3"/>
        </w:numPr>
        <w:jc w:val="left"/>
        <w:rPr>
          <w:rFonts w:ascii="仿宋" w:hAnsi="仿宋" w:eastAsia="仿宋"/>
          <w:b/>
          <w:color w:val="000000"/>
          <w:sz w:val="32"/>
          <w:szCs w:val="32"/>
        </w:rPr>
      </w:pPr>
      <w:r>
        <w:rPr>
          <w:rFonts w:hint="eastAsia" w:ascii="仿宋" w:hAnsi="仿宋" w:eastAsia="仿宋"/>
          <w:b/>
          <w:color w:val="000000"/>
          <w:sz w:val="32"/>
          <w:szCs w:val="32"/>
        </w:rPr>
        <w:t>道路交通系统</w:t>
      </w:r>
    </w:p>
    <w:p>
      <w:pPr>
        <w:spacing w:before="156" w:beforeLines="50" w:after="156" w:afterLines="50" w:line="500" w:lineRule="exact"/>
        <w:ind w:firstLine="640" w:firstLineChars="200"/>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规划区由快速路、主干路、次干路、支路构成的层级清晰功能明确的四级道路网体系。其中，快速路为三亚绕城高速公路，待三亚第二绕城高速公共建成后，现状三亚绕城高速公路作为快速路更好服务三亚主城区城市交通。</w:t>
      </w:r>
    </w:p>
    <w:p>
      <w:pPr>
        <w:spacing w:before="156" w:beforeLines="50" w:after="156" w:afterLines="50" w:line="500" w:lineRule="exact"/>
        <w:ind w:firstLine="640" w:firstLineChars="200"/>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规划主干路构成“二横三纵”骨架路网系统，承担规划区主要内部交通及对外交通联系功能，联系中央稻田公园东西两片区及融入三亚中心城区骨架路网系统。其中</w:t>
      </w:r>
      <w:r>
        <w:rPr>
          <w:rFonts w:ascii="仿宋" w:hAnsi="仿宋" w:eastAsia="仿宋"/>
          <w:color w:val="000000" w:themeColor="text1"/>
          <w:sz w:val="32"/>
          <w:szCs w:val="32"/>
          <w14:textFill>
            <w14:solidFill>
              <w14:schemeClr w14:val="tx1"/>
            </w14:solidFill>
          </w14:textFill>
        </w:rPr>
        <w:t xml:space="preserve"> “二横”为岭前路及鹿城大道，“三纵”为育新路、海润路、抱坡路。</w:t>
      </w:r>
    </w:p>
    <w:p>
      <w:pPr>
        <w:spacing w:before="156" w:beforeLines="50" w:after="156" w:afterLines="50" w:line="500" w:lineRule="exact"/>
        <w:ind w:firstLine="640" w:firstLineChars="200"/>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规划次干路主要承担中央稻田公园东西两片区内部交通功能，快速集散主干路交通。并作为主干路路网有效补充，承担部分规划区与中心城区交通联系及三亚站北站房综合交通枢纽交通集散等交通功能，分担主干路网交通压力。</w:t>
      </w:r>
    </w:p>
    <w:p>
      <w:pPr>
        <w:spacing w:before="156" w:beforeLines="50" w:after="156" w:afterLines="50" w:line="500" w:lineRule="exact"/>
        <w:ind w:firstLine="640" w:firstLineChars="200"/>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规划支路采用窄路密网布局理念，为中央稻田公园东西两片区内部人们日常生活提供便捷的出行服务，满足地块设置车行出入口需求。</w:t>
      </w:r>
    </w:p>
    <w:p>
      <w:pPr>
        <w:spacing w:line="578" w:lineRule="exact"/>
        <w:rPr>
          <w:rFonts w:ascii="仿宋" w:hAnsi="仿宋" w:eastAsia="仿宋"/>
          <w:b/>
          <w:color w:val="000000"/>
          <w:kern w:val="0"/>
          <w:sz w:val="32"/>
          <w:szCs w:val="32"/>
        </w:rPr>
      </w:pPr>
      <w:r>
        <w:rPr>
          <w:rFonts w:hint="eastAsia" w:ascii="仿宋" w:hAnsi="仿宋" w:eastAsia="仿宋"/>
          <w:b/>
          <w:color w:val="000000"/>
          <w:kern w:val="0"/>
          <w:sz w:val="32"/>
          <w:szCs w:val="32"/>
        </w:rPr>
        <w:t>附图</w:t>
      </w:r>
      <w:r>
        <w:rPr>
          <w:rFonts w:ascii="仿宋" w:hAnsi="仿宋" w:eastAsia="仿宋"/>
          <w:b/>
          <w:color w:val="000000"/>
          <w:kern w:val="0"/>
          <w:sz w:val="32"/>
          <w:szCs w:val="32"/>
        </w:rPr>
        <w:t>：</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区位分析</w:t>
      </w:r>
      <w:r>
        <w:rPr>
          <w:rFonts w:ascii="仿宋" w:hAnsi="仿宋" w:eastAsia="仿宋" w:cs="Times New Roman"/>
          <w:b/>
          <w:color w:val="000000"/>
          <w:kern w:val="0"/>
          <w:sz w:val="32"/>
          <w:szCs w:val="32"/>
        </w:rPr>
        <w:t>图</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现状影像图</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空间结构规划图</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地块用地规划图</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公共服务设施规划图</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建筑高度控制规划图</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开发强度控制规划图</w:t>
      </w:r>
    </w:p>
    <w:p>
      <w:pPr>
        <w:pStyle w:val="61"/>
        <w:numPr>
          <w:ilvl w:val="0"/>
          <w:numId w:val="5"/>
        </w:numPr>
        <w:spacing w:line="578" w:lineRule="exact"/>
        <w:ind w:firstLineChars="0"/>
        <w:rPr>
          <w:rFonts w:ascii="仿宋" w:hAnsi="仿宋" w:eastAsia="仿宋" w:cs="Times New Roman"/>
          <w:b/>
          <w:color w:val="000000"/>
          <w:kern w:val="0"/>
          <w:sz w:val="32"/>
          <w:szCs w:val="32"/>
        </w:rPr>
      </w:pPr>
      <w:r>
        <w:rPr>
          <w:rFonts w:hint="eastAsia" w:ascii="仿宋" w:hAnsi="仿宋" w:eastAsia="仿宋" w:cs="Times New Roman"/>
          <w:b/>
          <w:color w:val="000000"/>
          <w:kern w:val="0"/>
          <w:sz w:val="32"/>
          <w:szCs w:val="32"/>
        </w:rPr>
        <w:t>道路交通规划图</w:t>
      </w:r>
    </w:p>
    <w:p>
      <w:pPr>
        <w:pStyle w:val="61"/>
        <w:numPr>
          <w:ilvl w:val="0"/>
          <w:numId w:val="5"/>
        </w:numPr>
        <w:spacing w:line="578" w:lineRule="exact"/>
        <w:ind w:firstLineChars="0"/>
        <w:rPr>
          <w:rFonts w:ascii="黑体" w:hAnsi="黑体" w:eastAsia="黑体"/>
          <w:b/>
          <w:sz w:val="32"/>
          <w:szCs w:val="32"/>
        </w:rPr>
        <w:sectPr>
          <w:pgSz w:w="11906" w:h="16838"/>
          <w:pgMar w:top="1440" w:right="1800" w:bottom="1440" w:left="1800" w:header="851" w:footer="992" w:gutter="0"/>
          <w:cols w:space="720" w:num="1"/>
          <w:docGrid w:type="lines" w:linePitch="312" w:charSpace="0"/>
        </w:sectPr>
      </w:pPr>
    </w:p>
    <w:p>
      <w:pPr>
        <w:pStyle w:val="61"/>
        <w:numPr>
          <w:ilvl w:val="0"/>
          <w:numId w:val="5"/>
        </w:numPr>
        <w:spacing w:line="578" w:lineRule="exact"/>
        <w:ind w:firstLineChars="0"/>
        <w:rPr>
          <w:rFonts w:ascii="仿宋" w:hAnsi="仿宋" w:eastAsia="仿宋" w:cs="Times New Roman"/>
          <w:b/>
          <w:color w:val="000000"/>
          <w:kern w:val="0"/>
          <w:sz w:val="32"/>
          <w:szCs w:val="32"/>
        </w:rPr>
      </w:pPr>
      <w:r>
        <w:drawing>
          <wp:anchor distT="0" distB="0" distL="114300" distR="114300" simplePos="0" relativeHeight="251666432" behindDoc="1" locked="0" layoutInCell="1" allowOverlap="1">
            <wp:simplePos x="0" y="0"/>
            <wp:positionH relativeFrom="page">
              <wp:align>left</wp:align>
            </wp:positionH>
            <wp:positionV relativeFrom="paragraph">
              <wp:posOffset>-1149985</wp:posOffset>
            </wp:positionV>
            <wp:extent cx="10685145" cy="7552690"/>
            <wp:effectExtent l="0" t="0" r="2540" b="0"/>
            <wp:wrapNone/>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noChangeArrowheads="true"/>
                    </pic:cNvPicPr>
                  </pic:nvPicPr>
                  <pic:blipFill>
                    <a:blip r:embed="rId4"/>
                    <a:stretch>
                      <a:fillRect/>
                    </a:stretch>
                  </pic:blipFill>
                  <pic:spPr>
                    <a:xfrm>
                      <a:off x="0" y="0"/>
                      <a:ext cx="10684933" cy="7552648"/>
                    </a:xfrm>
                    <a:prstGeom prst="rect">
                      <a:avLst/>
                    </a:prstGeom>
                    <a:noFill/>
                    <a:ln>
                      <a:noFill/>
                    </a:ln>
                  </pic:spPr>
                </pic:pic>
              </a:graphicData>
            </a:graphic>
          </wp:anchor>
        </w:drawing>
      </w:r>
      <w:r>
        <w:rPr>
          <w:rFonts w:ascii="黑体" w:hAnsi="黑体" w:eastAsia="黑体"/>
          <w:b/>
          <w:sz w:val="32"/>
          <w:szCs w:val="32"/>
        </w:rPr>
        <w:br w:type="page"/>
      </w:r>
    </w:p>
    <w:p>
      <w:pPr>
        <w:pStyle w:val="7"/>
        <w:ind w:firstLine="400"/>
        <w:jc w:val="center"/>
        <w:rPr>
          <w:rFonts w:ascii="黑体" w:hAnsi="黑体"/>
          <w:sz w:val="24"/>
          <w:szCs w:val="24"/>
        </w:rPr>
      </w:pPr>
      <w:r>
        <w:drawing>
          <wp:anchor distT="0" distB="0" distL="114300" distR="114300" simplePos="0" relativeHeight="251667456" behindDoc="1" locked="0" layoutInCell="1" allowOverlap="1">
            <wp:simplePos x="0" y="0"/>
            <wp:positionH relativeFrom="page">
              <wp:align>right</wp:align>
            </wp:positionH>
            <wp:positionV relativeFrom="paragraph">
              <wp:posOffset>-1143000</wp:posOffset>
            </wp:positionV>
            <wp:extent cx="10691495" cy="7557770"/>
            <wp:effectExtent l="0" t="0" r="0" b="5715"/>
            <wp:wrapNone/>
            <wp:docPr id="1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true" noChangeArrowheads="true"/>
                    </pic:cNvPicPr>
                  </pic:nvPicPr>
                  <pic:blipFill>
                    <a:blip r:embed="rId5"/>
                    <a:stretch>
                      <a:fillRect/>
                    </a:stretch>
                  </pic:blipFill>
                  <pic:spPr>
                    <a:xfrm>
                      <a:off x="0" y="0"/>
                      <a:ext cx="10691446" cy="7557613"/>
                    </a:xfrm>
                    <a:prstGeom prst="rect">
                      <a:avLst/>
                    </a:prstGeom>
                    <a:noFill/>
                    <a:ln>
                      <a:noFill/>
                    </a:ln>
                  </pic:spPr>
                </pic:pic>
              </a:graphicData>
            </a:graphic>
          </wp:anchor>
        </w:drawing>
      </w:r>
      <w:r>
        <w:rPr>
          <w:rFonts w:cs="Arial"/>
          <w:sz w:val="30"/>
          <w:szCs w:val="30"/>
        </w:rPr>
        <w:t xml:space="preserve"> </w:t>
      </w:r>
      <w:r>
        <w:rPr>
          <w:rFonts w:cs="Arial"/>
          <w:sz w:val="30"/>
          <w:szCs w:val="30"/>
        </w:rPr>
        <w:br w:type="page"/>
      </w:r>
    </w:p>
    <w:p>
      <w:pPr>
        <w:widowControl/>
        <w:jc w:val="left"/>
      </w:pPr>
      <w:r>
        <w:drawing>
          <wp:anchor distT="0" distB="0" distL="114300" distR="114300" simplePos="0" relativeHeight="251668480" behindDoc="1" locked="0" layoutInCell="1" allowOverlap="1">
            <wp:simplePos x="0" y="0"/>
            <wp:positionH relativeFrom="page">
              <wp:align>right</wp:align>
            </wp:positionH>
            <wp:positionV relativeFrom="paragraph">
              <wp:posOffset>-1139190</wp:posOffset>
            </wp:positionV>
            <wp:extent cx="10688955" cy="7554595"/>
            <wp:effectExtent l="0" t="0" r="0" b="8890"/>
            <wp:wrapNone/>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noChangeArrowheads="true"/>
                    </pic:cNvPicPr>
                  </pic:nvPicPr>
                  <pic:blipFill>
                    <a:blip r:embed="rId6"/>
                    <a:stretch>
                      <a:fillRect/>
                    </a:stretch>
                  </pic:blipFill>
                  <pic:spPr>
                    <a:xfrm>
                      <a:off x="0" y="0"/>
                      <a:ext cx="10688658" cy="7554351"/>
                    </a:xfrm>
                    <a:prstGeom prst="rect">
                      <a:avLst/>
                    </a:prstGeom>
                    <a:noFill/>
                    <a:ln>
                      <a:noFill/>
                    </a:ln>
                  </pic:spPr>
                </pic:pic>
              </a:graphicData>
            </a:graphic>
          </wp:anchor>
        </w:drawing>
      </w:r>
      <w:r>
        <w:br w:type="page"/>
      </w:r>
      <w:r>
        <w:rPr>
          <w:rFonts w:hint="eastAsia" w:ascii="黑体" w:hAnsi="黑体"/>
          <w:sz w:val="24"/>
          <w:szCs w:val="24"/>
        </w:rPr>
        <w:drawing>
          <wp:anchor distT="0" distB="0" distL="114300" distR="114300" simplePos="0" relativeHeight="251669504" behindDoc="1" locked="0" layoutInCell="1" allowOverlap="1">
            <wp:simplePos x="0" y="0"/>
            <wp:positionH relativeFrom="page">
              <wp:align>right</wp:align>
            </wp:positionH>
            <wp:positionV relativeFrom="paragraph">
              <wp:posOffset>-1137285</wp:posOffset>
            </wp:positionV>
            <wp:extent cx="10690225" cy="7556500"/>
            <wp:effectExtent l="0" t="0" r="0" b="6985"/>
            <wp:wrapNone/>
            <wp:docPr id="13"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true" noChangeArrowheads="true"/>
                    </pic:cNvPicPr>
                  </pic:nvPicPr>
                  <pic:blipFill>
                    <a:blip r:embed="rId7"/>
                    <a:stretch>
                      <a:fillRect/>
                    </a:stretch>
                  </pic:blipFill>
                  <pic:spPr>
                    <a:xfrm>
                      <a:off x="0" y="0"/>
                      <a:ext cx="10690426" cy="7556320"/>
                    </a:xfrm>
                    <a:prstGeom prst="rect">
                      <a:avLst/>
                    </a:prstGeom>
                    <a:noFill/>
                    <a:ln>
                      <a:noFill/>
                    </a:ln>
                  </pic:spPr>
                </pic:pic>
              </a:graphicData>
            </a:graphic>
          </wp:anchor>
        </w:drawing>
      </w:r>
      <w:r>
        <w:br w:type="page"/>
      </w:r>
    </w:p>
    <w:p>
      <w:pPr>
        <w:widowControl/>
        <w:jc w:val="left"/>
      </w:pPr>
      <w:r>
        <w:rPr>
          <w:rFonts w:cs="Arial"/>
          <w:sz w:val="30"/>
          <w:szCs w:val="30"/>
        </w:rPr>
        <w:drawing>
          <wp:anchor distT="0" distB="0" distL="114300" distR="114300" simplePos="0" relativeHeight="251670528" behindDoc="0" locked="0" layoutInCell="1" allowOverlap="1">
            <wp:simplePos x="0" y="0"/>
            <wp:positionH relativeFrom="page">
              <wp:align>left</wp:align>
            </wp:positionH>
            <wp:positionV relativeFrom="paragraph">
              <wp:posOffset>-1130935</wp:posOffset>
            </wp:positionV>
            <wp:extent cx="10667365" cy="7539990"/>
            <wp:effectExtent l="0" t="0" r="1270" b="3810"/>
            <wp:wrapNone/>
            <wp:docPr id="1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true" noChangeArrowheads="true"/>
                    </pic:cNvPicPr>
                  </pic:nvPicPr>
                  <pic:blipFill>
                    <a:blip r:embed="rId8"/>
                    <a:stretch>
                      <a:fillRect/>
                    </a:stretch>
                  </pic:blipFill>
                  <pic:spPr>
                    <a:xfrm>
                      <a:off x="0" y="0"/>
                      <a:ext cx="10667323" cy="7539990"/>
                    </a:xfrm>
                    <a:prstGeom prst="rect">
                      <a:avLst/>
                    </a:prstGeom>
                    <a:noFill/>
                    <a:ln>
                      <a:noFill/>
                    </a:ln>
                  </pic:spPr>
                </pic:pic>
              </a:graphicData>
            </a:graphic>
          </wp:anchor>
        </w:drawing>
      </w:r>
    </w:p>
    <w:p/>
    <w:p>
      <w:pPr>
        <w:pStyle w:val="7"/>
        <w:ind w:firstLine="480"/>
        <w:jc w:val="center"/>
        <w:rPr>
          <w:rFonts w:ascii="黑体" w:hAnsi="黑体"/>
          <w:sz w:val="24"/>
          <w:szCs w:val="24"/>
        </w:rPr>
      </w:pPr>
      <w:r>
        <w:rPr>
          <w:rFonts w:hint="eastAsia" w:ascii="黑体" w:hAnsi="黑体"/>
          <w:sz w:val="24"/>
          <w:szCs w:val="24"/>
        </w:rPr>
        <w:t>图</w:t>
      </w:r>
    </w:p>
    <w:p/>
    <w:p>
      <w:pPr>
        <w:widowControl/>
        <w:jc w:val="left"/>
        <w:rPr>
          <w:rFonts w:ascii="黑体" w:hAnsi="黑体" w:cs="Calibri"/>
          <w:sz w:val="24"/>
          <w:szCs w:val="24"/>
        </w:rPr>
      </w:pPr>
    </w:p>
    <w:p>
      <w:pPr>
        <w:widowControl/>
        <w:jc w:val="left"/>
        <w:rPr>
          <w:rFonts w:ascii="黑体" w:hAnsi="黑体" w:cs="Calibri"/>
          <w:sz w:val="24"/>
          <w:szCs w:val="24"/>
        </w:rPr>
      </w:pPr>
    </w:p>
    <w:p>
      <w:pPr>
        <w:widowControl/>
        <w:jc w:val="left"/>
        <w:rPr>
          <w:rFonts w:ascii="黑体" w:hAnsi="黑体" w:cs="Calibri"/>
          <w:sz w:val="24"/>
          <w:szCs w:val="24"/>
        </w:rPr>
      </w:pPr>
    </w:p>
    <w:p>
      <w:pPr>
        <w:pStyle w:val="7"/>
        <w:ind w:firstLine="158" w:firstLineChars="66"/>
        <w:rPr>
          <w:rFonts w:ascii="黑体" w:hAnsi="黑体"/>
          <w:sz w:val="24"/>
          <w:szCs w:val="24"/>
        </w:rPr>
      </w:pPr>
    </w:p>
    <w:p>
      <w:pPr>
        <w:widowControl/>
        <w:jc w:val="left"/>
        <w:rPr>
          <w:rFonts w:ascii="宋体" w:hAnsi="宋体" w:eastAsia="仿宋" w:cs="Arial"/>
          <w:bCs/>
          <w:kern w:val="0"/>
          <w:sz w:val="30"/>
          <w:szCs w:val="30"/>
        </w:rPr>
      </w:pPr>
      <w:r>
        <w:rPr>
          <w:rFonts w:ascii="宋体" w:hAnsi="宋体" w:eastAsia="仿宋" w:cs="Arial"/>
          <w:bCs/>
          <w:kern w:val="0"/>
          <w:sz w:val="30"/>
          <w:szCs w:val="30"/>
        </w:rPr>
        <w:br w:type="page"/>
      </w:r>
    </w:p>
    <w:p>
      <w:pPr>
        <w:widowControl/>
        <w:jc w:val="left"/>
        <w:rPr>
          <w:rFonts w:ascii="宋体" w:hAnsi="宋体" w:eastAsia="仿宋" w:cs="Arial"/>
          <w:bCs/>
          <w:kern w:val="0"/>
          <w:sz w:val="30"/>
          <w:szCs w:val="30"/>
        </w:rPr>
      </w:pPr>
      <w:r>
        <w:rPr>
          <w:rFonts w:cs="Arial"/>
          <w:sz w:val="30"/>
          <w:szCs w:val="30"/>
        </w:rPr>
        <w:drawing>
          <wp:anchor distT="0" distB="0" distL="114300" distR="114300" simplePos="0" relativeHeight="251672576" behindDoc="1" locked="0" layoutInCell="1" allowOverlap="1">
            <wp:simplePos x="0" y="0"/>
            <wp:positionH relativeFrom="page">
              <wp:align>right</wp:align>
            </wp:positionH>
            <wp:positionV relativeFrom="paragraph">
              <wp:posOffset>-1143000</wp:posOffset>
            </wp:positionV>
            <wp:extent cx="10691495" cy="7557135"/>
            <wp:effectExtent l="0" t="0" r="0" b="6350"/>
            <wp:wrapNone/>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noChangeArrowheads="true"/>
                    </pic:cNvPicPr>
                  </pic:nvPicPr>
                  <pic:blipFill>
                    <a:blip r:embed="rId9"/>
                    <a:stretch>
                      <a:fillRect/>
                    </a:stretch>
                  </pic:blipFill>
                  <pic:spPr>
                    <a:xfrm>
                      <a:off x="0" y="0"/>
                      <a:ext cx="10691445" cy="7557040"/>
                    </a:xfrm>
                    <a:prstGeom prst="rect">
                      <a:avLst/>
                    </a:prstGeom>
                    <a:noFill/>
                    <a:ln>
                      <a:noFill/>
                    </a:ln>
                  </pic:spPr>
                </pic:pic>
              </a:graphicData>
            </a:graphic>
          </wp:anchor>
        </w:drawing>
      </w:r>
      <w:r>
        <w:rPr>
          <w:rFonts w:ascii="宋体" w:hAnsi="宋体" w:eastAsia="仿宋" w:cs="Arial"/>
          <w:bCs/>
          <w:kern w:val="0"/>
          <w:sz w:val="30"/>
          <w:szCs w:val="30"/>
        </w:rPr>
        <w:br w:type="page"/>
      </w:r>
    </w:p>
    <w:p>
      <w:pPr>
        <w:widowControl/>
        <w:jc w:val="left"/>
        <w:rPr>
          <w:rFonts w:ascii="宋体" w:hAnsi="宋体" w:eastAsia="仿宋" w:cs="Arial"/>
          <w:bCs/>
          <w:kern w:val="0"/>
          <w:sz w:val="30"/>
          <w:szCs w:val="30"/>
        </w:rPr>
      </w:pPr>
      <w:r>
        <w:rPr>
          <w:rFonts w:cs="Arial"/>
          <w:sz w:val="30"/>
          <w:szCs w:val="30"/>
        </w:rPr>
        <w:drawing>
          <wp:anchor distT="0" distB="0" distL="114300" distR="114300" simplePos="0" relativeHeight="251674624" behindDoc="1" locked="0" layoutInCell="1" allowOverlap="1">
            <wp:simplePos x="0" y="0"/>
            <wp:positionH relativeFrom="page">
              <wp:posOffset>0</wp:posOffset>
            </wp:positionH>
            <wp:positionV relativeFrom="paragraph">
              <wp:posOffset>-1143000</wp:posOffset>
            </wp:positionV>
            <wp:extent cx="10687050" cy="7553960"/>
            <wp:effectExtent l="0" t="0" r="0" b="8890"/>
            <wp:wrapNone/>
            <wp:docPr id="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true" noChangeArrowheads="true"/>
                    </pic:cNvPicPr>
                  </pic:nvPicPr>
                  <pic:blipFill>
                    <a:blip r:embed="rId10"/>
                    <a:stretch>
                      <a:fillRect/>
                    </a:stretch>
                  </pic:blipFill>
                  <pic:spPr>
                    <a:xfrm>
                      <a:off x="0" y="0"/>
                      <a:ext cx="10687366" cy="7554157"/>
                    </a:xfrm>
                    <a:prstGeom prst="rect">
                      <a:avLst/>
                    </a:prstGeom>
                    <a:noFill/>
                    <a:ln>
                      <a:noFill/>
                    </a:ln>
                  </pic:spPr>
                </pic:pic>
              </a:graphicData>
            </a:graphic>
          </wp:anchor>
        </w:drawing>
      </w:r>
      <w:r>
        <w:rPr>
          <w:rFonts w:ascii="宋体" w:hAnsi="宋体" w:eastAsia="仿宋" w:cs="Arial"/>
          <w:bCs/>
          <w:kern w:val="0"/>
          <w:sz w:val="30"/>
          <w:szCs w:val="30"/>
        </w:rPr>
        <w:br w:type="page"/>
      </w:r>
    </w:p>
    <w:p>
      <w:pPr>
        <w:widowControl/>
        <w:jc w:val="left"/>
        <w:rPr>
          <w:rFonts w:ascii="宋体" w:hAnsi="宋体" w:eastAsia="仿宋" w:cs="Arial"/>
          <w:bCs/>
          <w:kern w:val="0"/>
          <w:sz w:val="30"/>
          <w:szCs w:val="30"/>
        </w:rPr>
      </w:pPr>
      <w:r>
        <w:rPr>
          <w:rFonts w:cs="Arial"/>
          <w:sz w:val="30"/>
          <w:szCs w:val="30"/>
        </w:rPr>
        <w:drawing>
          <wp:anchor distT="0" distB="0" distL="114300" distR="114300" simplePos="0" relativeHeight="251675648" behindDoc="1" locked="0" layoutInCell="1" allowOverlap="1">
            <wp:simplePos x="0" y="0"/>
            <wp:positionH relativeFrom="page">
              <wp:align>left</wp:align>
            </wp:positionH>
            <wp:positionV relativeFrom="paragraph">
              <wp:posOffset>-1138555</wp:posOffset>
            </wp:positionV>
            <wp:extent cx="10680700" cy="7549515"/>
            <wp:effectExtent l="0" t="0" r="6350" b="0"/>
            <wp:wrapNone/>
            <wp:docPr id="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true" noChangeArrowheads="true"/>
                    </pic:cNvPicPr>
                  </pic:nvPicPr>
                  <pic:blipFill>
                    <a:blip r:embed="rId11"/>
                    <a:stretch>
                      <a:fillRect/>
                    </a:stretch>
                  </pic:blipFill>
                  <pic:spPr>
                    <a:xfrm>
                      <a:off x="0" y="0"/>
                      <a:ext cx="10680876" cy="7549570"/>
                    </a:xfrm>
                    <a:prstGeom prst="rect">
                      <a:avLst/>
                    </a:prstGeom>
                    <a:noFill/>
                    <a:ln>
                      <a:noFill/>
                    </a:ln>
                  </pic:spPr>
                </pic:pic>
              </a:graphicData>
            </a:graphic>
          </wp:anchor>
        </w:drawing>
      </w:r>
    </w:p>
    <w:sectPr>
      <w:pgSz w:w="16838" w:h="11906" w:orient="landscape"/>
      <w:pgMar w:top="1800" w:right="1440" w:bottom="1800"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Calibri Light">
    <w:panose1 w:val="020F0302020204030204"/>
    <w:charset w:val="00"/>
    <w:family w:val="swiss"/>
    <w:pitch w:val="default"/>
    <w:sig w:usb0="A00002EF" w:usb1="4000207B" w:usb2="00000000" w:usb3="00000000" w:csb0="2000019F" w:csb1="00000000"/>
  </w:font>
  <w:font w:name="方正粗宋简体">
    <w:altName w:val="微软雅黑"/>
    <w:panose1 w:val="03000509000000000000"/>
    <w:charset w:val="86"/>
    <w:family w:val="script"/>
    <w:pitch w:val="default"/>
    <w:sig w:usb0="00000000" w:usb1="00000000" w:usb2="0000001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2D1D5A"/>
    <w:multiLevelType w:val="multilevel"/>
    <w:tmpl w:val="022D1D5A"/>
    <w:lvl w:ilvl="0" w:tentative="0">
      <w:start w:val="1"/>
      <w:numFmt w:val="decimal"/>
      <w:lvlText w:val="（%1）"/>
      <w:lvlJc w:val="left"/>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31B24F1"/>
    <w:multiLevelType w:val="multilevel"/>
    <w:tmpl w:val="131B24F1"/>
    <w:lvl w:ilvl="0" w:tentative="0">
      <w:start w:val="1"/>
      <w:numFmt w:val="decimal"/>
      <w:pStyle w:val="51"/>
      <w:lvlText w:val="第%1条"/>
      <w:lvlJc w:val="left"/>
      <w:pPr>
        <w:ind w:left="420" w:hanging="420"/>
      </w:pPr>
      <w:rPr>
        <w:rFonts w:hint="eastAsia" w:eastAsia="仿宋"/>
        <w:b w:val="0"/>
        <w:i w:val="0"/>
        <w:color w:val="auto"/>
        <w:sz w:val="32"/>
        <w:szCs w:val="24"/>
        <w:lang w:val="en-US"/>
      </w:rPr>
    </w:lvl>
    <w:lvl w:ilvl="1" w:tentative="0">
      <w:start w:val="8"/>
      <w:numFmt w:val="japaneseCounting"/>
      <w:lvlText w:val="第%2章"/>
      <w:lvlJc w:val="left"/>
      <w:pPr>
        <w:tabs>
          <w:tab w:val="left" w:pos="1500"/>
        </w:tabs>
        <w:ind w:left="1500" w:hanging="1080"/>
      </w:pPr>
      <w:rPr>
        <w:rFonts w:hint="default"/>
      </w:rPr>
    </w:lvl>
    <w:lvl w:ilvl="2" w:tentative="0">
      <w:start w:val="1"/>
      <w:numFmt w:val="decimal"/>
      <w:lvlText w:val="%3."/>
      <w:lvlJc w:val="left"/>
      <w:pPr>
        <w:tabs>
          <w:tab w:val="left" w:pos="1200"/>
        </w:tabs>
        <w:ind w:left="1200" w:hanging="360"/>
      </w:pPr>
      <w:rPr>
        <w:rFonts w:hint="eastAsia" w:ascii="Times New Roman" w:hAnsi="Times New Roman"/>
        <w:color w:val="auto"/>
      </w:rPr>
    </w:lvl>
    <w:lvl w:ilvl="3" w:tentative="0">
      <w:start w:val="1"/>
      <w:numFmt w:val="decimal"/>
      <w:lvlText w:val="%4．"/>
      <w:lvlJc w:val="left"/>
      <w:pPr>
        <w:tabs>
          <w:tab w:val="left" w:pos="1620"/>
        </w:tabs>
        <w:ind w:left="1620" w:hanging="360"/>
      </w:pPr>
      <w:rPr>
        <w:rFonts w:hint="eastAsia"/>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1A6603F4"/>
    <w:multiLevelType w:val="multilevel"/>
    <w:tmpl w:val="1A6603F4"/>
    <w:lvl w:ilvl="0" w:tentative="0">
      <w:start w:val="1"/>
      <w:numFmt w:val="decimal"/>
      <w:lvlText w:val="%1."/>
      <w:lvlJc w:val="left"/>
      <w:pPr>
        <w:ind w:left="1020" w:hanging="360"/>
      </w:pPr>
      <w:rPr>
        <w:rFonts w:hint="default"/>
      </w:rPr>
    </w:lvl>
    <w:lvl w:ilvl="1" w:tentative="0">
      <w:start w:val="1"/>
      <w:numFmt w:val="lowerLetter"/>
      <w:lvlText w:val="%2)"/>
      <w:lvlJc w:val="left"/>
      <w:pPr>
        <w:ind w:left="1500" w:hanging="420"/>
      </w:pPr>
    </w:lvl>
    <w:lvl w:ilvl="2" w:tentative="0">
      <w:start w:val="1"/>
      <w:numFmt w:val="lowerRoman"/>
      <w:lvlText w:val="%3."/>
      <w:lvlJc w:val="right"/>
      <w:pPr>
        <w:ind w:left="1920" w:hanging="420"/>
      </w:pPr>
    </w:lvl>
    <w:lvl w:ilvl="3" w:tentative="0">
      <w:start w:val="1"/>
      <w:numFmt w:val="decimal"/>
      <w:lvlText w:val="%4."/>
      <w:lvlJc w:val="left"/>
      <w:pPr>
        <w:ind w:left="2340" w:hanging="420"/>
      </w:pPr>
    </w:lvl>
    <w:lvl w:ilvl="4" w:tentative="0">
      <w:start w:val="1"/>
      <w:numFmt w:val="lowerLetter"/>
      <w:lvlText w:val="%5)"/>
      <w:lvlJc w:val="left"/>
      <w:pPr>
        <w:ind w:left="2760" w:hanging="420"/>
      </w:pPr>
    </w:lvl>
    <w:lvl w:ilvl="5" w:tentative="0">
      <w:start w:val="1"/>
      <w:numFmt w:val="lowerRoman"/>
      <w:lvlText w:val="%6."/>
      <w:lvlJc w:val="right"/>
      <w:pPr>
        <w:ind w:left="3180" w:hanging="420"/>
      </w:pPr>
    </w:lvl>
    <w:lvl w:ilvl="6" w:tentative="0">
      <w:start w:val="1"/>
      <w:numFmt w:val="decimal"/>
      <w:lvlText w:val="%7."/>
      <w:lvlJc w:val="left"/>
      <w:pPr>
        <w:ind w:left="3600" w:hanging="420"/>
      </w:pPr>
    </w:lvl>
    <w:lvl w:ilvl="7" w:tentative="0">
      <w:start w:val="1"/>
      <w:numFmt w:val="lowerLetter"/>
      <w:lvlText w:val="%8)"/>
      <w:lvlJc w:val="left"/>
      <w:pPr>
        <w:ind w:left="4020" w:hanging="420"/>
      </w:pPr>
    </w:lvl>
    <w:lvl w:ilvl="8" w:tentative="0">
      <w:start w:val="1"/>
      <w:numFmt w:val="lowerRoman"/>
      <w:lvlText w:val="%9."/>
      <w:lvlJc w:val="right"/>
      <w:pPr>
        <w:ind w:left="4440" w:hanging="420"/>
      </w:pPr>
    </w:lvl>
  </w:abstractNum>
  <w:abstractNum w:abstractNumId="3">
    <w:nsid w:val="3F637769"/>
    <w:multiLevelType w:val="multilevel"/>
    <w:tmpl w:val="3F637769"/>
    <w:lvl w:ilvl="0" w:tentative="0">
      <w:start w:val="1"/>
      <w:numFmt w:val="decimal"/>
      <w:pStyle w:val="34"/>
      <w:lvlText w:val="第%1条"/>
      <w:lvlJc w:val="left"/>
      <w:pPr>
        <w:ind w:left="1470" w:hanging="735"/>
      </w:pPr>
      <w:rPr>
        <w:rFonts w:hint="default"/>
        <w:lang w:val="en-US"/>
      </w:rPr>
    </w:lvl>
    <w:lvl w:ilvl="1" w:tentative="0">
      <w:start w:val="1"/>
      <w:numFmt w:val="lowerLetter"/>
      <w:lvlText w:val="%2)"/>
      <w:lvlJc w:val="left"/>
      <w:pPr>
        <w:ind w:left="1575" w:hanging="420"/>
      </w:pPr>
    </w:lvl>
    <w:lvl w:ilvl="2" w:tentative="0">
      <w:start w:val="1"/>
      <w:numFmt w:val="lowerRoman"/>
      <w:lvlText w:val="%3."/>
      <w:lvlJc w:val="right"/>
      <w:pPr>
        <w:ind w:left="1995" w:hanging="420"/>
      </w:pPr>
    </w:lvl>
    <w:lvl w:ilvl="3" w:tentative="0">
      <w:start w:val="1"/>
      <w:numFmt w:val="decimal"/>
      <w:lvlText w:val="%4."/>
      <w:lvlJc w:val="left"/>
      <w:pPr>
        <w:ind w:left="2415" w:hanging="420"/>
      </w:pPr>
    </w:lvl>
    <w:lvl w:ilvl="4" w:tentative="0">
      <w:start w:val="1"/>
      <w:numFmt w:val="lowerLetter"/>
      <w:lvlText w:val="%5)"/>
      <w:lvlJc w:val="left"/>
      <w:pPr>
        <w:ind w:left="2835" w:hanging="420"/>
      </w:pPr>
    </w:lvl>
    <w:lvl w:ilvl="5" w:tentative="0">
      <w:start w:val="1"/>
      <w:numFmt w:val="lowerRoman"/>
      <w:lvlText w:val="%6."/>
      <w:lvlJc w:val="right"/>
      <w:pPr>
        <w:ind w:left="3255" w:hanging="420"/>
      </w:pPr>
    </w:lvl>
    <w:lvl w:ilvl="6" w:tentative="0">
      <w:start w:val="1"/>
      <w:numFmt w:val="decimal"/>
      <w:lvlText w:val="%7."/>
      <w:lvlJc w:val="left"/>
      <w:pPr>
        <w:ind w:left="3675" w:hanging="420"/>
      </w:pPr>
    </w:lvl>
    <w:lvl w:ilvl="7" w:tentative="0">
      <w:start w:val="1"/>
      <w:numFmt w:val="lowerLetter"/>
      <w:lvlText w:val="%8)"/>
      <w:lvlJc w:val="left"/>
      <w:pPr>
        <w:ind w:left="4095" w:hanging="420"/>
      </w:pPr>
    </w:lvl>
    <w:lvl w:ilvl="8" w:tentative="0">
      <w:start w:val="1"/>
      <w:numFmt w:val="lowerRoman"/>
      <w:lvlText w:val="%9."/>
      <w:lvlJc w:val="right"/>
      <w:pPr>
        <w:ind w:left="4515" w:hanging="420"/>
      </w:pPr>
    </w:lvl>
  </w:abstractNum>
  <w:abstractNum w:abstractNumId="4">
    <w:nsid w:val="6A2F647E"/>
    <w:multiLevelType w:val="multilevel"/>
    <w:tmpl w:val="6A2F647E"/>
    <w:lvl w:ilvl="0" w:tentative="0">
      <w:start w:val="1"/>
      <w:numFmt w:val="japaneseCounting"/>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true"/>
  <w:bordersDoNotSurroundFooter w:val="tru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0044"/>
    <w:rsid w:val="00003177"/>
    <w:rsid w:val="00006FD1"/>
    <w:rsid w:val="00007FE5"/>
    <w:rsid w:val="00011D52"/>
    <w:rsid w:val="000131A7"/>
    <w:rsid w:val="000135A8"/>
    <w:rsid w:val="0004096E"/>
    <w:rsid w:val="00056ECB"/>
    <w:rsid w:val="0006053D"/>
    <w:rsid w:val="0007480C"/>
    <w:rsid w:val="000837A6"/>
    <w:rsid w:val="000853B2"/>
    <w:rsid w:val="00094A7C"/>
    <w:rsid w:val="000B1194"/>
    <w:rsid w:val="000B11B9"/>
    <w:rsid w:val="000B3F65"/>
    <w:rsid w:val="000D20AD"/>
    <w:rsid w:val="000E0CFE"/>
    <w:rsid w:val="000E1BF7"/>
    <w:rsid w:val="000F2969"/>
    <w:rsid w:val="00123068"/>
    <w:rsid w:val="00124353"/>
    <w:rsid w:val="00141C19"/>
    <w:rsid w:val="00151780"/>
    <w:rsid w:val="001529ED"/>
    <w:rsid w:val="001548AE"/>
    <w:rsid w:val="00163D9D"/>
    <w:rsid w:val="00164EC1"/>
    <w:rsid w:val="00197EF5"/>
    <w:rsid w:val="001A3E04"/>
    <w:rsid w:val="001B46F1"/>
    <w:rsid w:val="001C26C6"/>
    <w:rsid w:val="001C2C11"/>
    <w:rsid w:val="001E7B0E"/>
    <w:rsid w:val="001F4C36"/>
    <w:rsid w:val="002031C7"/>
    <w:rsid w:val="0021451A"/>
    <w:rsid w:val="00236C42"/>
    <w:rsid w:val="00247674"/>
    <w:rsid w:val="00257A76"/>
    <w:rsid w:val="002804C3"/>
    <w:rsid w:val="00283973"/>
    <w:rsid w:val="002A11B1"/>
    <w:rsid w:val="002A35FD"/>
    <w:rsid w:val="002B39B6"/>
    <w:rsid w:val="002B62BB"/>
    <w:rsid w:val="002D300F"/>
    <w:rsid w:val="002E2DD0"/>
    <w:rsid w:val="002F2A03"/>
    <w:rsid w:val="003004E6"/>
    <w:rsid w:val="00301533"/>
    <w:rsid w:val="003110C4"/>
    <w:rsid w:val="003111C6"/>
    <w:rsid w:val="003240C4"/>
    <w:rsid w:val="00340350"/>
    <w:rsid w:val="003444D4"/>
    <w:rsid w:val="00352865"/>
    <w:rsid w:val="0035785F"/>
    <w:rsid w:val="00384CE1"/>
    <w:rsid w:val="00386EFD"/>
    <w:rsid w:val="003A0541"/>
    <w:rsid w:val="003A3856"/>
    <w:rsid w:val="003C4411"/>
    <w:rsid w:val="003E2707"/>
    <w:rsid w:val="003E370A"/>
    <w:rsid w:val="003E570F"/>
    <w:rsid w:val="003E76E1"/>
    <w:rsid w:val="003F24B7"/>
    <w:rsid w:val="003F4EC0"/>
    <w:rsid w:val="004012C5"/>
    <w:rsid w:val="00407190"/>
    <w:rsid w:val="004112C9"/>
    <w:rsid w:val="0041241C"/>
    <w:rsid w:val="00413342"/>
    <w:rsid w:val="00422EFF"/>
    <w:rsid w:val="004403AB"/>
    <w:rsid w:val="004531D3"/>
    <w:rsid w:val="004544F8"/>
    <w:rsid w:val="00457084"/>
    <w:rsid w:val="004645ED"/>
    <w:rsid w:val="004711EA"/>
    <w:rsid w:val="004807DB"/>
    <w:rsid w:val="00496B7F"/>
    <w:rsid w:val="004A736F"/>
    <w:rsid w:val="004B3A66"/>
    <w:rsid w:val="004C4AA5"/>
    <w:rsid w:val="004E6CB8"/>
    <w:rsid w:val="004F6C23"/>
    <w:rsid w:val="004F72BD"/>
    <w:rsid w:val="00505B6B"/>
    <w:rsid w:val="005223F9"/>
    <w:rsid w:val="00523F66"/>
    <w:rsid w:val="005262B8"/>
    <w:rsid w:val="00540DAB"/>
    <w:rsid w:val="00541D49"/>
    <w:rsid w:val="00542094"/>
    <w:rsid w:val="00553CA2"/>
    <w:rsid w:val="00556FB6"/>
    <w:rsid w:val="005A5135"/>
    <w:rsid w:val="005A54BF"/>
    <w:rsid w:val="005C5116"/>
    <w:rsid w:val="00602C48"/>
    <w:rsid w:val="00621E99"/>
    <w:rsid w:val="00622E33"/>
    <w:rsid w:val="00635134"/>
    <w:rsid w:val="00656377"/>
    <w:rsid w:val="00665FCE"/>
    <w:rsid w:val="006714C0"/>
    <w:rsid w:val="00681177"/>
    <w:rsid w:val="00684E5B"/>
    <w:rsid w:val="006A7B12"/>
    <w:rsid w:val="006D404A"/>
    <w:rsid w:val="006E130A"/>
    <w:rsid w:val="006E4A25"/>
    <w:rsid w:val="006F57D3"/>
    <w:rsid w:val="006F7E2F"/>
    <w:rsid w:val="00703FC2"/>
    <w:rsid w:val="00733834"/>
    <w:rsid w:val="00733C99"/>
    <w:rsid w:val="00736E5F"/>
    <w:rsid w:val="00741F5D"/>
    <w:rsid w:val="00742C24"/>
    <w:rsid w:val="00750B2D"/>
    <w:rsid w:val="00751C37"/>
    <w:rsid w:val="00771897"/>
    <w:rsid w:val="00774C78"/>
    <w:rsid w:val="00780049"/>
    <w:rsid w:val="007831F7"/>
    <w:rsid w:val="00785815"/>
    <w:rsid w:val="007B0FE5"/>
    <w:rsid w:val="007F0A11"/>
    <w:rsid w:val="00800044"/>
    <w:rsid w:val="00811132"/>
    <w:rsid w:val="00824D6A"/>
    <w:rsid w:val="00825575"/>
    <w:rsid w:val="00866D8C"/>
    <w:rsid w:val="008857EA"/>
    <w:rsid w:val="0089026E"/>
    <w:rsid w:val="008939F2"/>
    <w:rsid w:val="00894092"/>
    <w:rsid w:val="00897646"/>
    <w:rsid w:val="008A100F"/>
    <w:rsid w:val="008A1042"/>
    <w:rsid w:val="008A50FA"/>
    <w:rsid w:val="008A7F39"/>
    <w:rsid w:val="008B36EF"/>
    <w:rsid w:val="008C0398"/>
    <w:rsid w:val="008D52C8"/>
    <w:rsid w:val="008F0445"/>
    <w:rsid w:val="008F4593"/>
    <w:rsid w:val="008F4D99"/>
    <w:rsid w:val="00901E70"/>
    <w:rsid w:val="00906EB2"/>
    <w:rsid w:val="0091397C"/>
    <w:rsid w:val="0091445F"/>
    <w:rsid w:val="00955D45"/>
    <w:rsid w:val="009657A3"/>
    <w:rsid w:val="00967D74"/>
    <w:rsid w:val="00973803"/>
    <w:rsid w:val="009837C6"/>
    <w:rsid w:val="0099289E"/>
    <w:rsid w:val="009A082D"/>
    <w:rsid w:val="009C4B7A"/>
    <w:rsid w:val="009E12C2"/>
    <w:rsid w:val="009E6880"/>
    <w:rsid w:val="009F063F"/>
    <w:rsid w:val="00A02946"/>
    <w:rsid w:val="00A13FB2"/>
    <w:rsid w:val="00A1562F"/>
    <w:rsid w:val="00A2569E"/>
    <w:rsid w:val="00A37863"/>
    <w:rsid w:val="00A37C37"/>
    <w:rsid w:val="00A45ED4"/>
    <w:rsid w:val="00A50224"/>
    <w:rsid w:val="00A56292"/>
    <w:rsid w:val="00A618A7"/>
    <w:rsid w:val="00A6440D"/>
    <w:rsid w:val="00A71BFF"/>
    <w:rsid w:val="00A76CFB"/>
    <w:rsid w:val="00A8199D"/>
    <w:rsid w:val="00AA5680"/>
    <w:rsid w:val="00AA72E1"/>
    <w:rsid w:val="00AB2849"/>
    <w:rsid w:val="00AB383F"/>
    <w:rsid w:val="00AC5170"/>
    <w:rsid w:val="00AC73FD"/>
    <w:rsid w:val="00AD1306"/>
    <w:rsid w:val="00AE2540"/>
    <w:rsid w:val="00AE3732"/>
    <w:rsid w:val="00AF7D69"/>
    <w:rsid w:val="00B14717"/>
    <w:rsid w:val="00B26814"/>
    <w:rsid w:val="00B307F0"/>
    <w:rsid w:val="00B4760E"/>
    <w:rsid w:val="00B64A3E"/>
    <w:rsid w:val="00B74653"/>
    <w:rsid w:val="00B85299"/>
    <w:rsid w:val="00B87C6B"/>
    <w:rsid w:val="00BB3AFD"/>
    <w:rsid w:val="00BD42AE"/>
    <w:rsid w:val="00BD6604"/>
    <w:rsid w:val="00BE27B8"/>
    <w:rsid w:val="00BE5D3A"/>
    <w:rsid w:val="00C0690B"/>
    <w:rsid w:val="00C148C2"/>
    <w:rsid w:val="00C36400"/>
    <w:rsid w:val="00C50600"/>
    <w:rsid w:val="00C54EEE"/>
    <w:rsid w:val="00C55214"/>
    <w:rsid w:val="00C65EFA"/>
    <w:rsid w:val="00C82273"/>
    <w:rsid w:val="00C878C2"/>
    <w:rsid w:val="00C87F13"/>
    <w:rsid w:val="00CC2918"/>
    <w:rsid w:val="00CD226A"/>
    <w:rsid w:val="00CD449F"/>
    <w:rsid w:val="00CE168C"/>
    <w:rsid w:val="00CF3D0B"/>
    <w:rsid w:val="00D07489"/>
    <w:rsid w:val="00D07AEF"/>
    <w:rsid w:val="00D11BF4"/>
    <w:rsid w:val="00D2117D"/>
    <w:rsid w:val="00D218F9"/>
    <w:rsid w:val="00D33F9B"/>
    <w:rsid w:val="00D36F2A"/>
    <w:rsid w:val="00D42846"/>
    <w:rsid w:val="00D462C6"/>
    <w:rsid w:val="00D52E8C"/>
    <w:rsid w:val="00D6492C"/>
    <w:rsid w:val="00D76919"/>
    <w:rsid w:val="00D871FB"/>
    <w:rsid w:val="00D92B01"/>
    <w:rsid w:val="00D94B6E"/>
    <w:rsid w:val="00DA0240"/>
    <w:rsid w:val="00DA712A"/>
    <w:rsid w:val="00DB53D6"/>
    <w:rsid w:val="00DB6F76"/>
    <w:rsid w:val="00DC1CAB"/>
    <w:rsid w:val="00DF1A61"/>
    <w:rsid w:val="00E20068"/>
    <w:rsid w:val="00E2191E"/>
    <w:rsid w:val="00E251D2"/>
    <w:rsid w:val="00E374F5"/>
    <w:rsid w:val="00E47089"/>
    <w:rsid w:val="00E5126F"/>
    <w:rsid w:val="00E5531B"/>
    <w:rsid w:val="00E5767D"/>
    <w:rsid w:val="00EB7D18"/>
    <w:rsid w:val="00EC30AC"/>
    <w:rsid w:val="00ED339C"/>
    <w:rsid w:val="00ED3B4C"/>
    <w:rsid w:val="00ED783B"/>
    <w:rsid w:val="00EE690A"/>
    <w:rsid w:val="00F01886"/>
    <w:rsid w:val="00F125A9"/>
    <w:rsid w:val="00F142FD"/>
    <w:rsid w:val="00F210E3"/>
    <w:rsid w:val="00F22FFA"/>
    <w:rsid w:val="00F2516E"/>
    <w:rsid w:val="00F41A37"/>
    <w:rsid w:val="00F45E41"/>
    <w:rsid w:val="00F52AED"/>
    <w:rsid w:val="00F546AF"/>
    <w:rsid w:val="00F67F21"/>
    <w:rsid w:val="00F752D0"/>
    <w:rsid w:val="00FA3EFA"/>
    <w:rsid w:val="00FA64A4"/>
    <w:rsid w:val="00FC1A30"/>
    <w:rsid w:val="00FC25A5"/>
    <w:rsid w:val="00FF3AF2"/>
    <w:rsid w:val="0DA44982"/>
    <w:rsid w:val="1BDB3696"/>
    <w:rsid w:val="29203285"/>
    <w:rsid w:val="343F07DB"/>
    <w:rsid w:val="456A4FCF"/>
    <w:rsid w:val="6962501E"/>
    <w:rsid w:val="6C5F1DD7"/>
    <w:rsid w:val="753B48D0"/>
    <w:rsid w:val="FBFE8E8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等线" w:hAnsi="等线" w:eastAsia="等线"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nhideWhenUsed="0" w:uiPriority="0"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eastAsia="等线" w:cs="Times New Roman"/>
      <w:kern w:val="2"/>
      <w:sz w:val="21"/>
      <w:szCs w:val="22"/>
      <w:lang w:val="en-US" w:eastAsia="zh-CN" w:bidi="ar-SA"/>
    </w:rPr>
  </w:style>
  <w:style w:type="paragraph" w:styleId="2">
    <w:name w:val="heading 1"/>
    <w:basedOn w:val="1"/>
    <w:next w:val="1"/>
    <w:link w:val="40"/>
    <w:qFormat/>
    <w:uiPriority w:val="9"/>
    <w:pPr>
      <w:keepNext/>
      <w:keepLines/>
      <w:spacing w:before="340" w:after="330" w:line="578" w:lineRule="auto"/>
      <w:outlineLvl w:val="0"/>
    </w:pPr>
    <w:rPr>
      <w:b/>
      <w:bCs/>
      <w:kern w:val="44"/>
      <w:sz w:val="44"/>
      <w:szCs w:val="44"/>
    </w:rPr>
  </w:style>
  <w:style w:type="paragraph" w:styleId="3">
    <w:name w:val="heading 2"/>
    <w:basedOn w:val="4"/>
    <w:next w:val="1"/>
    <w:link w:val="37"/>
    <w:qFormat/>
    <w:uiPriority w:val="0"/>
    <w:pPr>
      <w:keepNext/>
      <w:keepLines/>
      <w:spacing w:after="120" w:line="288" w:lineRule="auto"/>
    </w:pPr>
    <w:rPr>
      <w:rFonts w:ascii="Calibri Light" w:hAnsi="Calibri Light" w:eastAsia="方正粗宋简体"/>
      <w:sz w:val="44"/>
      <w:szCs w:val="44"/>
      <w:lang w:val="zh-CN"/>
    </w:rPr>
  </w:style>
  <w:style w:type="paragraph" w:styleId="5">
    <w:name w:val="heading 3"/>
    <w:basedOn w:val="1"/>
    <w:next w:val="1"/>
    <w:link w:val="32"/>
    <w:qFormat/>
    <w:uiPriority w:val="9"/>
    <w:pPr>
      <w:keepNext/>
      <w:keepLines/>
      <w:spacing w:before="260" w:after="260" w:line="416" w:lineRule="auto"/>
      <w:outlineLvl w:val="2"/>
    </w:pPr>
    <w:rPr>
      <w:b/>
      <w:bCs/>
      <w:sz w:val="32"/>
      <w:szCs w:val="32"/>
    </w:rPr>
  </w:style>
  <w:style w:type="paragraph" w:styleId="6">
    <w:name w:val="heading 8"/>
    <w:basedOn w:val="1"/>
    <w:next w:val="1"/>
    <w:link w:val="42"/>
    <w:qFormat/>
    <w:uiPriority w:val="0"/>
    <w:pPr>
      <w:keepNext/>
      <w:keepLines/>
      <w:spacing w:before="240" w:after="64" w:line="320" w:lineRule="auto"/>
      <w:outlineLvl w:val="7"/>
    </w:pPr>
    <w:rPr>
      <w:rFonts w:ascii="Arial" w:hAnsi="Arial" w:eastAsia="黑体"/>
      <w:b/>
      <w:sz w:val="32"/>
      <w:szCs w:val="24"/>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4">
    <w:name w:val="Subtitle"/>
    <w:basedOn w:val="1"/>
    <w:next w:val="1"/>
    <w:link w:val="39"/>
    <w:qFormat/>
    <w:uiPriority w:val="0"/>
    <w:pPr>
      <w:spacing w:before="240" w:after="60" w:line="312" w:lineRule="auto"/>
      <w:jc w:val="center"/>
      <w:outlineLvl w:val="1"/>
    </w:pPr>
    <w:rPr>
      <w:b/>
      <w:bCs/>
      <w:kern w:val="28"/>
      <w:sz w:val="32"/>
      <w:szCs w:val="32"/>
    </w:rPr>
  </w:style>
  <w:style w:type="paragraph" w:styleId="7">
    <w:name w:val="caption"/>
    <w:basedOn w:val="1"/>
    <w:next w:val="1"/>
    <w:link w:val="64"/>
    <w:unhideWhenUsed/>
    <w:qFormat/>
    <w:uiPriority w:val="35"/>
    <w:pPr>
      <w:spacing w:line="300" w:lineRule="auto"/>
      <w:ind w:firstLine="200" w:firstLineChars="200"/>
    </w:pPr>
    <w:rPr>
      <w:rFonts w:ascii="等线 Light" w:hAnsi="等线 Light" w:eastAsia="黑体" w:cs="Calibri"/>
      <w:sz w:val="20"/>
      <w:szCs w:val="20"/>
    </w:rPr>
  </w:style>
  <w:style w:type="paragraph" w:styleId="8">
    <w:name w:val="annotation text"/>
    <w:basedOn w:val="1"/>
    <w:link w:val="31"/>
    <w:unhideWhenUsed/>
    <w:qFormat/>
    <w:uiPriority w:val="99"/>
    <w:pPr>
      <w:jc w:val="left"/>
    </w:pPr>
  </w:style>
  <w:style w:type="paragraph" w:styleId="9">
    <w:name w:val="toc 3"/>
    <w:basedOn w:val="1"/>
    <w:next w:val="1"/>
    <w:unhideWhenUsed/>
    <w:qFormat/>
    <w:uiPriority w:val="39"/>
    <w:pPr>
      <w:widowControl/>
      <w:tabs>
        <w:tab w:val="right" w:leader="dot" w:pos="8296"/>
      </w:tabs>
      <w:spacing w:after="100" w:line="259" w:lineRule="auto"/>
      <w:ind w:left="440" w:firstLine="409" w:firstLineChars="186"/>
      <w:jc w:val="left"/>
    </w:pPr>
    <w:rPr>
      <w:kern w:val="0"/>
      <w:sz w:val="22"/>
    </w:rPr>
  </w:style>
  <w:style w:type="paragraph" w:styleId="10">
    <w:name w:val="Balloon Text"/>
    <w:basedOn w:val="1"/>
    <w:link w:val="46"/>
    <w:unhideWhenUsed/>
    <w:qFormat/>
    <w:uiPriority w:val="99"/>
    <w:rPr>
      <w:sz w:val="18"/>
      <w:szCs w:val="18"/>
    </w:rPr>
  </w:style>
  <w:style w:type="paragraph" w:styleId="11">
    <w:name w:val="footer"/>
    <w:basedOn w:val="1"/>
    <w:link w:val="29"/>
    <w:unhideWhenUsed/>
    <w:qFormat/>
    <w:uiPriority w:val="99"/>
    <w:pPr>
      <w:tabs>
        <w:tab w:val="center" w:pos="4153"/>
        <w:tab w:val="right" w:pos="8306"/>
      </w:tabs>
      <w:snapToGrid w:val="0"/>
      <w:jc w:val="left"/>
    </w:pPr>
    <w:rPr>
      <w:sz w:val="18"/>
      <w:szCs w:val="18"/>
    </w:rPr>
  </w:style>
  <w:style w:type="paragraph" w:styleId="12">
    <w:name w:val="header"/>
    <w:basedOn w:val="1"/>
    <w:link w:val="36"/>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unhideWhenUsed/>
    <w:qFormat/>
    <w:uiPriority w:val="39"/>
    <w:pPr>
      <w:widowControl/>
      <w:spacing w:after="100" w:line="259" w:lineRule="auto"/>
      <w:jc w:val="left"/>
    </w:pPr>
    <w:rPr>
      <w:kern w:val="0"/>
      <w:sz w:val="22"/>
    </w:rPr>
  </w:style>
  <w:style w:type="paragraph" w:styleId="14">
    <w:name w:val="footnote text"/>
    <w:basedOn w:val="1"/>
    <w:link w:val="30"/>
    <w:unhideWhenUsed/>
    <w:qFormat/>
    <w:uiPriority w:val="99"/>
    <w:pPr>
      <w:snapToGrid w:val="0"/>
      <w:jc w:val="left"/>
    </w:pPr>
    <w:rPr>
      <w:sz w:val="18"/>
      <w:szCs w:val="18"/>
    </w:rPr>
  </w:style>
  <w:style w:type="paragraph" w:styleId="15">
    <w:name w:val="toc 2"/>
    <w:basedOn w:val="1"/>
    <w:next w:val="1"/>
    <w:unhideWhenUsed/>
    <w:qFormat/>
    <w:uiPriority w:val="39"/>
    <w:pPr>
      <w:tabs>
        <w:tab w:val="right" w:leader="dot" w:pos="8296"/>
      </w:tabs>
      <w:spacing w:line="480" w:lineRule="exact"/>
      <w:ind w:left="420" w:leftChars="200"/>
    </w:pPr>
    <w:rPr>
      <w:b/>
      <w:sz w:val="24"/>
      <w:szCs w:val="24"/>
    </w:rPr>
  </w:style>
  <w:style w:type="paragraph" w:styleId="16">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7">
    <w:name w:val="annotation subject"/>
    <w:basedOn w:val="8"/>
    <w:next w:val="8"/>
    <w:link w:val="27"/>
    <w:unhideWhenUsed/>
    <w:qFormat/>
    <w:uiPriority w:val="99"/>
    <w:rPr>
      <w:b/>
      <w:bCs/>
    </w:rPr>
  </w:style>
  <w:style w:type="table" w:styleId="19">
    <w:name w:val="Table Grid"/>
    <w:basedOn w:val="1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FollowedHyperlink"/>
    <w:unhideWhenUsed/>
    <w:qFormat/>
    <w:uiPriority w:val="99"/>
    <w:rPr>
      <w:color w:val="954F72"/>
      <w:u w:val="single"/>
    </w:rPr>
  </w:style>
  <w:style w:type="character" w:styleId="22">
    <w:name w:val="Hyperlink"/>
    <w:unhideWhenUsed/>
    <w:qFormat/>
    <w:uiPriority w:val="99"/>
    <w:rPr>
      <w:color w:val="0563C1"/>
      <w:u w:val="single"/>
    </w:rPr>
  </w:style>
  <w:style w:type="character" w:styleId="23">
    <w:name w:val="annotation reference"/>
    <w:unhideWhenUsed/>
    <w:qFormat/>
    <w:uiPriority w:val="99"/>
    <w:rPr>
      <w:sz w:val="21"/>
      <w:szCs w:val="21"/>
    </w:rPr>
  </w:style>
  <w:style w:type="character" w:styleId="24">
    <w:name w:val="footnote reference"/>
    <w:unhideWhenUsed/>
    <w:qFormat/>
    <w:uiPriority w:val="99"/>
    <w:rPr>
      <w:vertAlign w:val="superscript"/>
    </w:rPr>
  </w:style>
  <w:style w:type="character" w:customStyle="1" w:styleId="25">
    <w:name w:val="本文正文 Char"/>
    <w:link w:val="26"/>
    <w:qFormat/>
    <w:uiPriority w:val="0"/>
    <w:rPr>
      <w:rFonts w:ascii="宋体" w:hAnsi="宋体" w:eastAsia="仿宋" w:cs="Times New Roman"/>
      <w:bCs/>
      <w:kern w:val="0"/>
      <w:sz w:val="28"/>
      <w:szCs w:val="24"/>
    </w:rPr>
  </w:style>
  <w:style w:type="paragraph" w:customStyle="1" w:styleId="26">
    <w:name w:val="本文正文"/>
    <w:basedOn w:val="1"/>
    <w:link w:val="25"/>
    <w:qFormat/>
    <w:uiPriority w:val="0"/>
    <w:pPr>
      <w:spacing w:before="120" w:after="120" w:line="520" w:lineRule="exact"/>
      <w:ind w:firstLine="200" w:firstLineChars="200"/>
    </w:pPr>
    <w:rPr>
      <w:rFonts w:ascii="宋体" w:hAnsi="宋体" w:eastAsia="仿宋"/>
      <w:bCs/>
      <w:kern w:val="0"/>
      <w:sz w:val="28"/>
      <w:szCs w:val="24"/>
    </w:rPr>
  </w:style>
  <w:style w:type="character" w:customStyle="1" w:styleId="27">
    <w:name w:val="批注主题 字符"/>
    <w:link w:val="17"/>
    <w:semiHidden/>
    <w:qFormat/>
    <w:uiPriority w:val="99"/>
    <w:rPr>
      <w:b/>
      <w:bCs/>
    </w:rPr>
  </w:style>
  <w:style w:type="character" w:customStyle="1" w:styleId="28">
    <w:name w:val="页脚 Char"/>
    <w:qFormat/>
    <w:locked/>
    <w:uiPriority w:val="99"/>
    <w:rPr>
      <w:rFonts w:cs="Times New Roman"/>
      <w:sz w:val="18"/>
      <w:szCs w:val="18"/>
    </w:rPr>
  </w:style>
  <w:style w:type="character" w:customStyle="1" w:styleId="29">
    <w:name w:val="页脚 字符"/>
    <w:link w:val="11"/>
    <w:qFormat/>
    <w:uiPriority w:val="99"/>
    <w:rPr>
      <w:sz w:val="18"/>
      <w:szCs w:val="18"/>
    </w:rPr>
  </w:style>
  <w:style w:type="character" w:customStyle="1" w:styleId="30">
    <w:name w:val="脚注文本 字符"/>
    <w:link w:val="14"/>
    <w:semiHidden/>
    <w:qFormat/>
    <w:uiPriority w:val="99"/>
    <w:rPr>
      <w:sz w:val="18"/>
      <w:szCs w:val="18"/>
    </w:rPr>
  </w:style>
  <w:style w:type="character" w:customStyle="1" w:styleId="31">
    <w:name w:val="批注文字 字符"/>
    <w:basedOn w:val="20"/>
    <w:link w:val="8"/>
    <w:semiHidden/>
    <w:qFormat/>
    <w:uiPriority w:val="99"/>
  </w:style>
  <w:style w:type="character" w:customStyle="1" w:styleId="32">
    <w:name w:val="标题 3 字符"/>
    <w:link w:val="5"/>
    <w:qFormat/>
    <w:uiPriority w:val="9"/>
    <w:rPr>
      <w:b/>
      <w:bCs/>
      <w:sz w:val="32"/>
      <w:szCs w:val="32"/>
    </w:rPr>
  </w:style>
  <w:style w:type="character" w:customStyle="1" w:styleId="33">
    <w:name w:val="普标题1 Char"/>
    <w:link w:val="34"/>
    <w:qFormat/>
    <w:uiPriority w:val="0"/>
    <w:rPr>
      <w:rFonts w:ascii="Calibri" w:hAnsi="Calibri" w:eastAsia="仿宋" w:cs="Times New Roman"/>
      <w:sz w:val="28"/>
      <w:szCs w:val="24"/>
      <w:lang w:val="zh-CN" w:eastAsia="zh-CN"/>
    </w:rPr>
  </w:style>
  <w:style w:type="paragraph" w:customStyle="1" w:styleId="34">
    <w:name w:val="普标题1"/>
    <w:basedOn w:val="35"/>
    <w:link w:val="33"/>
    <w:qFormat/>
    <w:uiPriority w:val="0"/>
    <w:pPr>
      <w:numPr>
        <w:ilvl w:val="0"/>
        <w:numId w:val="1"/>
      </w:numPr>
    </w:pPr>
    <w:rPr>
      <w:b w:val="0"/>
    </w:rPr>
  </w:style>
  <w:style w:type="paragraph" w:customStyle="1" w:styleId="35">
    <w:name w:val="第一条"/>
    <w:basedOn w:val="1"/>
    <w:link w:val="41"/>
    <w:qFormat/>
    <w:uiPriority w:val="0"/>
    <w:pPr>
      <w:spacing w:after="120" w:line="288" w:lineRule="auto"/>
    </w:pPr>
    <w:rPr>
      <w:rFonts w:ascii="Calibri" w:hAnsi="Calibri" w:eastAsia="仿宋"/>
      <w:b/>
      <w:kern w:val="0"/>
      <w:sz w:val="28"/>
      <w:szCs w:val="24"/>
      <w:lang w:val="zh-CN"/>
    </w:rPr>
  </w:style>
  <w:style w:type="character" w:customStyle="1" w:styleId="36">
    <w:name w:val="页眉 字符"/>
    <w:link w:val="12"/>
    <w:qFormat/>
    <w:uiPriority w:val="99"/>
    <w:rPr>
      <w:sz w:val="18"/>
      <w:szCs w:val="18"/>
    </w:rPr>
  </w:style>
  <w:style w:type="character" w:customStyle="1" w:styleId="37">
    <w:name w:val="标题 2 字符1"/>
    <w:link w:val="3"/>
    <w:qFormat/>
    <w:locked/>
    <w:uiPriority w:val="0"/>
    <w:rPr>
      <w:rFonts w:ascii="Calibri Light" w:hAnsi="Calibri Light" w:eastAsia="方正粗宋简体" w:cs="Times New Roman"/>
      <w:b/>
      <w:bCs/>
      <w:kern w:val="28"/>
      <w:sz w:val="44"/>
      <w:szCs w:val="44"/>
      <w:lang w:val="zh-CN" w:eastAsia="zh-CN"/>
    </w:rPr>
  </w:style>
  <w:style w:type="character" w:customStyle="1" w:styleId="38">
    <w:name w:val="页眉 Char"/>
    <w:qFormat/>
    <w:locked/>
    <w:uiPriority w:val="99"/>
    <w:rPr>
      <w:rFonts w:cs="Times New Roman"/>
      <w:sz w:val="18"/>
      <w:szCs w:val="18"/>
    </w:rPr>
  </w:style>
  <w:style w:type="character" w:customStyle="1" w:styleId="39">
    <w:name w:val="副标题 字符"/>
    <w:link w:val="4"/>
    <w:qFormat/>
    <w:uiPriority w:val="0"/>
    <w:rPr>
      <w:b/>
      <w:bCs/>
      <w:kern w:val="28"/>
      <w:sz w:val="32"/>
      <w:szCs w:val="32"/>
    </w:rPr>
  </w:style>
  <w:style w:type="character" w:customStyle="1" w:styleId="40">
    <w:name w:val="标题 1 字符"/>
    <w:link w:val="2"/>
    <w:qFormat/>
    <w:uiPriority w:val="9"/>
    <w:rPr>
      <w:b/>
      <w:bCs/>
      <w:kern w:val="44"/>
      <w:sz w:val="44"/>
      <w:szCs w:val="44"/>
    </w:rPr>
  </w:style>
  <w:style w:type="character" w:customStyle="1" w:styleId="41">
    <w:name w:val="第一条 Char"/>
    <w:link w:val="35"/>
    <w:qFormat/>
    <w:uiPriority w:val="0"/>
    <w:rPr>
      <w:rFonts w:ascii="Calibri" w:hAnsi="Calibri" w:eastAsia="仿宋" w:cs="Times New Roman"/>
      <w:b/>
      <w:sz w:val="28"/>
      <w:szCs w:val="24"/>
      <w:lang w:val="zh-CN" w:eastAsia="zh-CN"/>
    </w:rPr>
  </w:style>
  <w:style w:type="character" w:customStyle="1" w:styleId="42">
    <w:name w:val="标题 8 字符"/>
    <w:link w:val="6"/>
    <w:qFormat/>
    <w:uiPriority w:val="0"/>
    <w:rPr>
      <w:rFonts w:ascii="Arial" w:hAnsi="Arial" w:eastAsia="黑体" w:cs="Times New Roman"/>
      <w:b/>
      <w:sz w:val="32"/>
      <w:szCs w:val="24"/>
    </w:rPr>
  </w:style>
  <w:style w:type="character" w:customStyle="1" w:styleId="43">
    <w:name w:val="副标题 字符1"/>
    <w:qFormat/>
    <w:uiPriority w:val="0"/>
    <w:rPr>
      <w:rFonts w:ascii="Calibri Light" w:hAnsi="Calibri Light" w:eastAsia="方正粗宋简体" w:cs="Times New Roman"/>
      <w:bCs/>
      <w:kern w:val="28"/>
      <w:sz w:val="32"/>
      <w:szCs w:val="32"/>
    </w:rPr>
  </w:style>
  <w:style w:type="character" w:customStyle="1" w:styleId="44">
    <w:name w:val="标题 2 字符"/>
    <w:semiHidden/>
    <w:qFormat/>
    <w:uiPriority w:val="9"/>
    <w:rPr>
      <w:rFonts w:ascii="等线 Light" w:hAnsi="等线 Light" w:eastAsia="等线 Light" w:cs="Times New Roman"/>
      <w:b/>
      <w:bCs/>
      <w:sz w:val="32"/>
      <w:szCs w:val="32"/>
    </w:rPr>
  </w:style>
  <w:style w:type="character" w:customStyle="1" w:styleId="45">
    <w:name w:val="强制性内容"/>
    <w:qFormat/>
    <w:uiPriority w:val="1"/>
    <w:rPr>
      <w:b/>
      <w:u w:val="single"/>
    </w:rPr>
  </w:style>
  <w:style w:type="character" w:customStyle="1" w:styleId="46">
    <w:name w:val="批注框文本 字符"/>
    <w:link w:val="10"/>
    <w:semiHidden/>
    <w:qFormat/>
    <w:uiPriority w:val="99"/>
    <w:rPr>
      <w:sz w:val="18"/>
      <w:szCs w:val="18"/>
    </w:rPr>
  </w:style>
  <w:style w:type="paragraph" w:customStyle="1" w:styleId="47">
    <w:name w:val="TOC 标题1"/>
    <w:basedOn w:val="2"/>
    <w:next w:val="1"/>
    <w:unhideWhenUsed/>
    <w:qFormat/>
    <w:uiPriority w:val="39"/>
    <w:pPr>
      <w:widowControl/>
      <w:spacing w:before="240" w:after="0" w:line="259" w:lineRule="auto"/>
      <w:jc w:val="left"/>
      <w:outlineLvl w:val="9"/>
    </w:pPr>
    <w:rPr>
      <w:rFonts w:ascii="等线 Light" w:hAnsi="等线 Light" w:eastAsia="等线 Light"/>
      <w:b w:val="0"/>
      <w:bCs w:val="0"/>
      <w:color w:val="2F5496"/>
      <w:kern w:val="0"/>
      <w:sz w:val="32"/>
      <w:szCs w:val="32"/>
    </w:rPr>
  </w:style>
  <w:style w:type="paragraph" w:customStyle="1" w:styleId="48">
    <w:name w:val="xl72"/>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楷体" w:hAnsi="楷体" w:eastAsia="楷体" w:cs="宋体"/>
      <w:b/>
      <w:bCs/>
      <w:kern w:val="0"/>
      <w:szCs w:val="21"/>
    </w:rPr>
  </w:style>
  <w:style w:type="paragraph" w:customStyle="1" w:styleId="49">
    <w:name w:val="xl65"/>
    <w:basedOn w:val="1"/>
    <w:qFormat/>
    <w:uiPriority w:val="0"/>
    <w:pPr>
      <w:widowControl/>
      <w:shd w:val="clear" w:color="000000" w:fill="DDEBF7"/>
      <w:spacing w:before="100" w:beforeAutospacing="1" w:after="100" w:afterAutospacing="1"/>
      <w:jc w:val="left"/>
    </w:pPr>
    <w:rPr>
      <w:rFonts w:ascii="宋体" w:hAnsi="宋体" w:eastAsia="宋体" w:cs="宋体"/>
      <w:kern w:val="0"/>
      <w:sz w:val="24"/>
      <w:szCs w:val="24"/>
    </w:rPr>
  </w:style>
  <w:style w:type="paragraph" w:customStyle="1" w:styleId="50">
    <w:name w:val="font5"/>
    <w:basedOn w:val="1"/>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51">
    <w:name w:val="_条文标题"/>
    <w:basedOn w:val="1"/>
    <w:next w:val="52"/>
    <w:qFormat/>
    <w:uiPriority w:val="0"/>
    <w:pPr>
      <w:numPr>
        <w:ilvl w:val="0"/>
        <w:numId w:val="2"/>
      </w:numPr>
      <w:tabs>
        <w:tab w:val="left" w:pos="1361"/>
      </w:tabs>
      <w:spacing w:before="240" w:after="120" w:line="600" w:lineRule="exact"/>
    </w:pPr>
    <w:rPr>
      <w:rFonts w:ascii="仿宋" w:hAnsi="仿宋" w:eastAsia="仿宋"/>
      <w:sz w:val="32"/>
      <w:szCs w:val="32"/>
    </w:rPr>
  </w:style>
  <w:style w:type="paragraph" w:customStyle="1" w:styleId="52">
    <w:name w:val="_条文正文"/>
    <w:basedOn w:val="1"/>
    <w:qFormat/>
    <w:uiPriority w:val="0"/>
    <w:pPr>
      <w:spacing w:beforeLines="50" w:afterLines="50" w:line="560" w:lineRule="exact"/>
      <w:ind w:left="1361"/>
    </w:pPr>
    <w:rPr>
      <w:rFonts w:ascii="仿宋" w:hAnsi="仿宋" w:eastAsia="仿宋" w:cs="宋体"/>
      <w:sz w:val="32"/>
      <w:szCs w:val="20"/>
    </w:rPr>
  </w:style>
  <w:style w:type="paragraph" w:customStyle="1" w:styleId="53">
    <w:name w:val="xl66"/>
    <w:basedOn w:val="1"/>
    <w:qFormat/>
    <w:uiPriority w:val="0"/>
    <w:pPr>
      <w:widowControl/>
      <w:shd w:val="clear" w:color="000000" w:fill="FFF2CC"/>
      <w:spacing w:before="100" w:beforeAutospacing="1" w:after="100" w:afterAutospacing="1"/>
      <w:jc w:val="left"/>
    </w:pPr>
    <w:rPr>
      <w:rFonts w:ascii="宋体" w:hAnsi="宋体" w:eastAsia="宋体" w:cs="宋体"/>
      <w:kern w:val="0"/>
      <w:sz w:val="24"/>
      <w:szCs w:val="24"/>
    </w:rPr>
  </w:style>
  <w:style w:type="paragraph" w:customStyle="1" w:styleId="54">
    <w:name w:val="xl68"/>
    <w:basedOn w:val="1"/>
    <w:qFormat/>
    <w:uiPriority w:val="0"/>
    <w:pPr>
      <w:widowControl/>
      <w:shd w:val="clear" w:color="000000" w:fill="FFF2CC"/>
      <w:spacing w:before="100" w:beforeAutospacing="1" w:after="100" w:afterAutospacing="1"/>
      <w:jc w:val="left"/>
    </w:pPr>
    <w:rPr>
      <w:rFonts w:ascii="宋体" w:hAnsi="宋体" w:eastAsia="宋体" w:cs="宋体"/>
      <w:kern w:val="0"/>
      <w:sz w:val="24"/>
      <w:szCs w:val="24"/>
    </w:rPr>
  </w:style>
  <w:style w:type="paragraph" w:customStyle="1" w:styleId="55">
    <w:name w:val="xl71"/>
    <w:basedOn w:val="1"/>
    <w:qFormat/>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eastAsia="微软雅黑" w:cs="宋体"/>
      <w:kern w:val="0"/>
      <w:sz w:val="22"/>
    </w:rPr>
  </w:style>
  <w:style w:type="paragraph" w:customStyle="1" w:styleId="56">
    <w:name w:val="xl67"/>
    <w:basedOn w:val="1"/>
    <w:qFormat/>
    <w:uiPriority w:val="0"/>
    <w:pPr>
      <w:widowControl/>
      <w:shd w:val="clear" w:color="000000" w:fill="C6E0B4"/>
      <w:spacing w:before="100" w:beforeAutospacing="1" w:after="100" w:afterAutospacing="1"/>
      <w:jc w:val="left"/>
    </w:pPr>
    <w:rPr>
      <w:rFonts w:ascii="宋体" w:hAnsi="宋体" w:eastAsia="宋体" w:cs="宋体"/>
      <w:kern w:val="0"/>
      <w:sz w:val="24"/>
      <w:szCs w:val="24"/>
    </w:rPr>
  </w:style>
  <w:style w:type="paragraph" w:customStyle="1" w:styleId="57">
    <w:name w:val="xl69"/>
    <w:basedOn w:val="1"/>
    <w:qFormat/>
    <w:uiPriority w:val="0"/>
    <w:pPr>
      <w:widowControl/>
      <w:shd w:val="clear" w:color="000000" w:fill="FFCCCC"/>
      <w:spacing w:before="100" w:beforeAutospacing="1" w:after="100" w:afterAutospacing="1"/>
      <w:jc w:val="left"/>
    </w:pPr>
    <w:rPr>
      <w:rFonts w:ascii="宋体" w:hAnsi="宋体" w:eastAsia="宋体" w:cs="宋体"/>
      <w:kern w:val="0"/>
      <w:sz w:val="24"/>
      <w:szCs w:val="24"/>
    </w:rPr>
  </w:style>
  <w:style w:type="paragraph" w:customStyle="1" w:styleId="58">
    <w:name w:val="xl70"/>
    <w:basedOn w:val="1"/>
    <w:qFormat/>
    <w:uiPriority w:val="0"/>
    <w:pPr>
      <w:widowControl/>
      <w:shd w:val="clear" w:color="000000" w:fill="FFFF00"/>
      <w:spacing w:before="100" w:beforeAutospacing="1" w:after="100" w:afterAutospacing="1"/>
      <w:jc w:val="left"/>
    </w:pPr>
    <w:rPr>
      <w:rFonts w:ascii="宋体" w:hAnsi="宋体" w:eastAsia="宋体" w:cs="宋体"/>
      <w:kern w:val="0"/>
      <w:sz w:val="24"/>
      <w:szCs w:val="24"/>
    </w:rPr>
  </w:style>
  <w:style w:type="paragraph" w:customStyle="1" w:styleId="59">
    <w:name w:val="列出段落1"/>
    <w:basedOn w:val="1"/>
    <w:qFormat/>
    <w:uiPriority w:val="0"/>
    <w:pPr>
      <w:ind w:firstLine="420" w:firstLineChars="200"/>
    </w:pPr>
  </w:style>
  <w:style w:type="table" w:customStyle="1" w:styleId="60">
    <w:name w:val="网格型1"/>
    <w:basedOn w:val="18"/>
    <w:qFormat/>
    <w:uiPriority w:val="39"/>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61">
    <w:name w:val="List Paragraph"/>
    <w:basedOn w:val="1"/>
    <w:link w:val="63"/>
    <w:qFormat/>
    <w:uiPriority w:val="34"/>
    <w:pPr>
      <w:ind w:firstLine="420" w:firstLineChars="200"/>
    </w:pPr>
    <w:rPr>
      <w:rFonts w:asciiTheme="minorHAnsi" w:hAnsiTheme="minorHAnsi" w:eastAsiaTheme="minorEastAsia" w:cstheme="minorBidi"/>
    </w:rPr>
  </w:style>
  <w:style w:type="paragraph" w:customStyle="1" w:styleId="62">
    <w:name w:val="a"/>
    <w:basedOn w:val="1"/>
    <w:qFormat/>
    <w:uiPriority w:val="0"/>
    <w:pPr>
      <w:widowControl/>
      <w:spacing w:before="100" w:beforeAutospacing="1" w:after="100" w:afterAutospacing="1"/>
      <w:jc w:val="left"/>
    </w:pPr>
    <w:rPr>
      <w:rFonts w:ascii="宋体" w:hAnsi="宋体" w:eastAsia="宋体"/>
      <w:color w:val="000000"/>
      <w:kern w:val="0"/>
      <w:szCs w:val="21"/>
    </w:rPr>
  </w:style>
  <w:style w:type="character" w:customStyle="1" w:styleId="63">
    <w:name w:val="列表段落 字符"/>
    <w:link w:val="61"/>
    <w:qFormat/>
    <w:uiPriority w:val="34"/>
    <w:rPr>
      <w:rFonts w:asciiTheme="minorHAnsi" w:hAnsiTheme="minorHAnsi" w:eastAsiaTheme="minorEastAsia" w:cstheme="minorBidi"/>
      <w:kern w:val="2"/>
      <w:sz w:val="21"/>
      <w:szCs w:val="22"/>
    </w:rPr>
  </w:style>
  <w:style w:type="character" w:customStyle="1" w:styleId="64">
    <w:name w:val="题注 字符"/>
    <w:link w:val="7"/>
    <w:qFormat/>
    <w:uiPriority w:val="35"/>
    <w:rPr>
      <w:rFonts w:ascii="等线 Light" w:hAnsi="等线 Light" w:eastAsia="黑体" w:cs="Calibri"/>
      <w:kern w:val="2"/>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15</Pages>
  <Words>509</Words>
  <Characters>2902</Characters>
  <Lines>24</Lines>
  <Paragraphs>6</Paragraphs>
  <TotalTime>4</TotalTime>
  <ScaleCrop>false</ScaleCrop>
  <LinksUpToDate>false</LinksUpToDate>
  <CharactersWithSpaces>3405</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2022-10-26T23:31:00Z</dcterms:created>
  <dc:creator>Administrator</dc:creator>
  <cp:lastModifiedBy>uos</cp:lastModifiedBy>
  <cp:lastPrinted>2022-01-21T00:33:00Z</cp:lastPrinted>
  <dcterms:modified xsi:type="dcterms:W3CDTF">2022-12-29T17:54:18Z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ies>
</file>