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hint="eastAsia" w:eastAsia="仿宋"/>
          <w:b/>
          <w:bCs/>
          <w:sz w:val="36"/>
          <w:szCs w:val="36"/>
          <w:lang w:eastAsia="zh-CN"/>
        </w:rPr>
      </w:pPr>
      <w:r>
        <w:rPr>
          <w:rFonts w:hint="eastAsia"/>
          <w:b/>
          <w:bCs/>
          <w:sz w:val="36"/>
          <w:szCs w:val="36"/>
        </w:rPr>
        <w:t>《三亚综合物流园区控制性详细规划》</w:t>
      </w:r>
      <w:r>
        <w:rPr>
          <w:rFonts w:hint="eastAsia"/>
          <w:b/>
          <w:bCs/>
          <w:sz w:val="36"/>
          <w:szCs w:val="36"/>
          <w:lang w:eastAsia="zh-CN"/>
        </w:rPr>
        <w:t>（公示</w:t>
      </w:r>
      <w:r>
        <w:rPr>
          <w:rFonts w:hint="eastAsia"/>
          <w:b/>
          <w:bCs/>
          <w:sz w:val="36"/>
          <w:szCs w:val="36"/>
        </w:rPr>
        <w:t>稿</w:t>
      </w:r>
      <w:r>
        <w:rPr>
          <w:rFonts w:hint="eastAsia"/>
          <w:b/>
          <w:bCs/>
          <w:sz w:val="36"/>
          <w:szCs w:val="36"/>
          <w:lang w:eastAsia="zh-CN"/>
        </w:rPr>
        <w:t>）</w:t>
      </w:r>
    </w:p>
    <w:p>
      <w:pPr>
        <w:ind w:firstLine="640"/>
      </w:pPr>
    </w:p>
    <w:p>
      <w:pPr>
        <w:pStyle w:val="9"/>
        <w:numPr>
          <w:ilvl w:val="0"/>
          <w:numId w:val="2"/>
        </w:numPr>
        <w:ind w:firstLineChars="0"/>
        <w:rPr>
          <w:b/>
          <w:bCs/>
        </w:rPr>
      </w:pPr>
      <w:r>
        <w:rPr>
          <w:rFonts w:hint="eastAsia"/>
          <w:b/>
          <w:bCs/>
        </w:rPr>
        <w:t>规划背景</w:t>
      </w:r>
    </w:p>
    <w:p>
      <w:pPr>
        <w:pStyle w:val="9"/>
        <w:ind w:firstLine="640"/>
      </w:pPr>
      <w:r>
        <w:rPr>
          <w:rFonts w:hint="eastAsia"/>
        </w:rPr>
        <w:t>2</w:t>
      </w:r>
      <w:r>
        <w:t>020</w:t>
      </w:r>
      <w:r>
        <w:rPr>
          <w:rFonts w:hint="eastAsia"/>
        </w:rPr>
        <w:t>年6月，中共中央</w:t>
      </w:r>
      <w:r>
        <w:rPr>
          <w:rFonts w:hint="eastAsia"/>
          <w:lang w:val="en-US" w:eastAsia="zh-CN"/>
        </w:rPr>
        <w:t xml:space="preserve"> </w:t>
      </w:r>
      <w:r>
        <w:rPr>
          <w:rFonts w:hint="eastAsia"/>
        </w:rPr>
        <w:t>国务院印发《海南自由贸易港建设总体方案》，提出海南应“推动保税仓储、国际物流配送、转口贸易、大宗商品贸易、进口商品展销、流通加工、集装箱拆拼箱等业务发展，提高全球供应链服务管理能力”。2018年1</w:t>
      </w:r>
      <w:r>
        <w:t>2</w:t>
      </w:r>
      <w:r>
        <w:rPr>
          <w:rFonts w:hint="eastAsia"/>
        </w:rPr>
        <w:t>月，国家发展改革委</w:t>
      </w:r>
      <w:r>
        <w:rPr>
          <w:rFonts w:hint="eastAsia"/>
          <w:lang w:val="en-US" w:eastAsia="zh-CN"/>
        </w:rPr>
        <w:t xml:space="preserve"> </w:t>
      </w:r>
      <w:r>
        <w:rPr>
          <w:rFonts w:hint="eastAsia"/>
        </w:rPr>
        <w:t>交通运输部印发《国家物流枢纽布局和建设规划》，三亚市列入空港型国家物流枢纽承载城市。三亚市积极响应海南自由贸易港建设要求，充分利用空港优势，积极发展自贸物流、空港物流、区域集散，打造空港型国家物流枢纽、琼南物流集散中心。</w:t>
      </w:r>
    </w:p>
    <w:p>
      <w:pPr>
        <w:ind w:firstLine="640"/>
        <w:rPr>
          <w:rFonts w:ascii="仿宋" w:hAnsi="仿宋"/>
          <w:szCs w:val="32"/>
        </w:rPr>
      </w:pPr>
      <w:r>
        <w:rPr>
          <w:rFonts w:hint="eastAsia" w:ascii="仿宋" w:hAnsi="仿宋"/>
          <w:szCs w:val="32"/>
        </w:rPr>
        <w:t>三亚综合物流园区是《海南省总体规划（空间类2</w:t>
      </w:r>
      <w:r>
        <w:rPr>
          <w:rFonts w:ascii="仿宋" w:hAnsi="仿宋"/>
          <w:szCs w:val="32"/>
        </w:rPr>
        <w:t>015</w:t>
      </w:r>
      <w:r>
        <w:rPr>
          <w:rFonts w:hint="eastAsia" w:ascii="仿宋" w:hAnsi="仿宋"/>
          <w:szCs w:val="32"/>
        </w:rPr>
        <w:t>-</w:t>
      </w:r>
      <w:r>
        <w:rPr>
          <w:rFonts w:ascii="仿宋" w:hAnsi="仿宋"/>
          <w:szCs w:val="32"/>
        </w:rPr>
        <w:t>2030</w:t>
      </w:r>
      <w:r>
        <w:rPr>
          <w:rFonts w:hint="eastAsia" w:ascii="仿宋" w:hAnsi="仿宋"/>
          <w:szCs w:val="32"/>
        </w:rPr>
        <w:t>）》确定的产业园区，经《三亚市总体规划（空间类2</w:t>
      </w:r>
      <w:r>
        <w:rPr>
          <w:rFonts w:ascii="仿宋" w:hAnsi="仿宋"/>
          <w:szCs w:val="32"/>
        </w:rPr>
        <w:t>015</w:t>
      </w:r>
      <w:r>
        <w:rPr>
          <w:rFonts w:hint="eastAsia" w:ascii="仿宋" w:hAnsi="仿宋"/>
          <w:szCs w:val="32"/>
        </w:rPr>
        <w:t>-</w:t>
      </w:r>
      <w:r>
        <w:rPr>
          <w:rFonts w:ascii="仿宋" w:hAnsi="仿宋"/>
          <w:szCs w:val="32"/>
        </w:rPr>
        <w:t>2030</w:t>
      </w:r>
      <w:r>
        <w:rPr>
          <w:rFonts w:hint="eastAsia" w:ascii="仿宋" w:hAnsi="仿宋"/>
          <w:szCs w:val="32"/>
        </w:rPr>
        <w:t>）》</w:t>
      </w:r>
      <w:r>
        <w:rPr>
          <w:rFonts w:hint="eastAsia" w:ascii="仿宋" w:hAnsi="仿宋"/>
          <w:szCs w:val="32"/>
          <w:lang w:eastAsia="zh-CN"/>
        </w:rPr>
        <w:t>（省政府常务会审议通过）</w:t>
      </w:r>
      <w:r>
        <w:rPr>
          <w:rFonts w:hint="eastAsia" w:ascii="仿宋" w:hAnsi="仿宋"/>
          <w:szCs w:val="32"/>
        </w:rPr>
        <w:t>确定园区的规划范围与建设用地规模</w:t>
      </w:r>
      <w:r>
        <w:rPr>
          <w:rFonts w:hint="eastAsia" w:ascii="仿宋" w:hAnsi="仿宋"/>
          <w:szCs w:val="32"/>
          <w:lang w:eastAsia="zh-CN"/>
        </w:rPr>
        <w:t>，</w:t>
      </w:r>
      <w:bookmarkStart w:id="1" w:name="_GoBack"/>
      <w:bookmarkEnd w:id="1"/>
      <w:r>
        <w:rPr>
          <w:rFonts w:hint="eastAsia" w:ascii="仿宋" w:hAnsi="仿宋"/>
          <w:szCs w:val="32"/>
        </w:rPr>
        <w:t>是海南自由贸易港建设背景下，三亚市现代物流业发展的重要载体。</w:t>
      </w:r>
    </w:p>
    <w:p>
      <w:pPr>
        <w:pStyle w:val="9"/>
        <w:numPr>
          <w:ilvl w:val="0"/>
          <w:numId w:val="2"/>
        </w:numPr>
        <w:ind w:firstLineChars="0"/>
        <w:rPr>
          <w:b/>
          <w:bCs/>
        </w:rPr>
      </w:pPr>
      <w:r>
        <w:rPr>
          <w:rFonts w:hint="eastAsia"/>
          <w:b/>
          <w:bCs/>
        </w:rPr>
        <w:t>规划范围</w:t>
      </w:r>
    </w:p>
    <w:p>
      <w:pPr>
        <w:ind w:firstLine="640"/>
        <w:rPr>
          <w:rFonts w:ascii="仿宋" w:hAnsi="仿宋"/>
          <w:szCs w:val="32"/>
        </w:rPr>
      </w:pPr>
      <w:r>
        <w:rPr>
          <w:rFonts w:hint="eastAsia"/>
        </w:rPr>
        <w:t>三亚综合物流园位于三亚市天涯区凤凰机场以北，</w:t>
      </w:r>
      <w:r>
        <w:rPr>
          <w:rFonts w:hint="eastAsia" w:ascii="仿宋" w:hAnsi="仿宋"/>
          <w:szCs w:val="32"/>
        </w:rPr>
        <w:t>规划范围西至两王</w:t>
      </w:r>
      <w:r>
        <w:rPr>
          <w:rFonts w:ascii="仿宋" w:hAnsi="仿宋"/>
          <w:szCs w:val="32"/>
        </w:rPr>
        <w:t>岭，</w:t>
      </w:r>
      <w:r>
        <w:rPr>
          <w:rFonts w:hint="eastAsia" w:ascii="仿宋" w:hAnsi="仿宋"/>
          <w:szCs w:val="32"/>
        </w:rPr>
        <w:t>东</w:t>
      </w:r>
      <w:r>
        <w:rPr>
          <w:rFonts w:ascii="仿宋" w:hAnsi="仿宋"/>
          <w:szCs w:val="32"/>
        </w:rPr>
        <w:t>至</w:t>
      </w:r>
      <w:r>
        <w:rPr>
          <w:rFonts w:hint="eastAsia" w:ascii="仿宋" w:hAnsi="仿宋"/>
          <w:szCs w:val="32"/>
        </w:rPr>
        <w:t>冲会</w:t>
      </w:r>
      <w:r>
        <w:rPr>
          <w:rFonts w:ascii="仿宋" w:hAnsi="仿宋"/>
          <w:szCs w:val="32"/>
        </w:rPr>
        <w:t>河，南至绕城高速，</w:t>
      </w:r>
      <w:r>
        <w:rPr>
          <w:rFonts w:hint="eastAsia" w:ascii="仿宋" w:hAnsi="仿宋"/>
          <w:szCs w:val="32"/>
        </w:rPr>
        <w:t>北至</w:t>
      </w:r>
      <w:r>
        <w:rPr>
          <w:rFonts w:ascii="仿宋" w:hAnsi="仿宋"/>
          <w:szCs w:val="32"/>
        </w:rPr>
        <w:t>岭渣水库，</w:t>
      </w:r>
      <w:r>
        <w:rPr>
          <w:rFonts w:hint="eastAsia" w:ascii="仿宋" w:hAnsi="仿宋"/>
          <w:szCs w:val="32"/>
        </w:rPr>
        <w:t>面积约</w:t>
      </w:r>
      <w:r>
        <w:rPr>
          <w:rFonts w:hint="eastAsia" w:ascii="仿宋" w:hAnsi="仿宋"/>
          <w:szCs w:val="32"/>
          <w:lang w:val="en-US" w:eastAsia="zh-CN"/>
        </w:rPr>
        <w:t>209.9公顷</w:t>
      </w:r>
      <w:r>
        <w:rPr>
          <w:rFonts w:ascii="仿宋" w:hAnsi="仿宋"/>
          <w:szCs w:val="32"/>
        </w:rPr>
        <w:t>。</w:t>
      </w:r>
    </w:p>
    <w:p>
      <w:pPr>
        <w:pStyle w:val="9"/>
        <w:numPr>
          <w:ilvl w:val="0"/>
          <w:numId w:val="2"/>
        </w:numPr>
        <w:ind w:firstLineChars="0"/>
        <w:rPr>
          <w:b/>
          <w:bCs/>
        </w:rPr>
      </w:pPr>
      <w:r>
        <w:rPr>
          <w:rFonts w:hint="eastAsia"/>
          <w:b/>
          <w:bCs/>
        </w:rPr>
        <w:t>发展定位</w:t>
      </w:r>
    </w:p>
    <w:p>
      <w:pPr>
        <w:pStyle w:val="9"/>
        <w:ind w:firstLine="640"/>
      </w:pPr>
      <w:r>
        <w:rPr>
          <w:rFonts w:hint="eastAsia"/>
        </w:rPr>
        <w:t>三亚综合物流园紧扣海南自由贸易港和三亚空港型国家物流枢纽承载城市建设要求，依托毗邻凤凰机场和绕城高速的区位优势，重点发展</w:t>
      </w:r>
      <w:r>
        <w:rPr>
          <w:rFonts w:hint="eastAsia"/>
          <w:b/>
          <w:bCs/>
        </w:rPr>
        <w:t>自贸物流</w:t>
      </w:r>
      <w:r>
        <w:rPr>
          <w:rFonts w:hint="eastAsia"/>
        </w:rPr>
        <w:t>、</w:t>
      </w:r>
      <w:r>
        <w:rPr>
          <w:rFonts w:hint="eastAsia"/>
          <w:b/>
          <w:bCs/>
        </w:rPr>
        <w:t>空港物流</w:t>
      </w:r>
      <w:r>
        <w:rPr>
          <w:rFonts w:hint="eastAsia"/>
        </w:rPr>
        <w:t>、</w:t>
      </w:r>
      <w:r>
        <w:rPr>
          <w:rFonts w:hint="eastAsia"/>
          <w:b/>
          <w:bCs/>
        </w:rPr>
        <w:t>高附加值城市配套物流、高附加值和无污染的高端制造加工业，</w:t>
      </w:r>
      <w:r>
        <w:rPr>
          <w:rFonts w:hint="eastAsia"/>
        </w:rPr>
        <w:t>打造三亚市重要物流节点。</w:t>
      </w:r>
    </w:p>
    <w:p>
      <w:pPr>
        <w:pStyle w:val="9"/>
        <w:numPr>
          <w:ilvl w:val="0"/>
          <w:numId w:val="2"/>
        </w:numPr>
        <w:ind w:firstLineChars="0"/>
        <w:rPr>
          <w:b/>
          <w:bCs/>
        </w:rPr>
      </w:pPr>
      <w:r>
        <w:rPr>
          <w:rFonts w:hint="eastAsia"/>
          <w:b/>
          <w:bCs/>
        </w:rPr>
        <w:t>空间结构</w:t>
      </w:r>
    </w:p>
    <w:p>
      <w:pPr>
        <w:ind w:firstLine="640"/>
      </w:pPr>
      <w:r>
        <w:rPr>
          <w:rFonts w:hint="eastAsia"/>
        </w:rPr>
        <w:t>三亚综合物流园规划形成</w:t>
      </w:r>
      <w:r>
        <w:rPr>
          <w:rFonts w:hint="eastAsia"/>
          <w:b/>
          <w:bCs/>
        </w:rPr>
        <w:t>自贸物流区、空港物流区、商贸物流区、物流服务区</w:t>
      </w:r>
      <w:r>
        <w:rPr>
          <w:rFonts w:hint="eastAsia"/>
        </w:rPr>
        <w:t>四个功能片区。</w:t>
      </w:r>
    </w:p>
    <w:p>
      <w:pPr>
        <w:ind w:firstLine="640"/>
      </w:pPr>
      <w:r>
        <w:rPr>
          <w:rFonts w:hint="eastAsia"/>
        </w:rPr>
        <w:t>自贸物流区，依托海南自由贸易港发展保税仓储、国际快递、中转物流等。</w:t>
      </w:r>
    </w:p>
    <w:p>
      <w:pPr>
        <w:ind w:firstLine="640"/>
      </w:pPr>
      <w:r>
        <w:rPr>
          <w:rFonts w:hint="eastAsia"/>
        </w:rPr>
        <w:t>空港物流区，依托凤凰国际机场发展流通加工、精密设备仓储转运等，兼顾高附加值无污染的高端制造加工业。</w:t>
      </w:r>
    </w:p>
    <w:p>
      <w:pPr>
        <w:ind w:firstLine="640"/>
      </w:pPr>
      <w:r>
        <w:rPr>
          <w:rFonts w:hint="eastAsia"/>
        </w:rPr>
        <w:t>商贸物流区，依托三亚市域及大三亚区域的旅游及消费市场，发展城市配送、冷链物流、商品展销等。</w:t>
      </w:r>
    </w:p>
    <w:p>
      <w:pPr>
        <w:ind w:firstLine="640"/>
        <w:rPr>
          <w:color w:val="FF0000"/>
        </w:rPr>
      </w:pPr>
      <w:r>
        <w:rPr>
          <w:rFonts w:hint="eastAsia"/>
        </w:rPr>
        <w:t>物流服务区，发展指挥调度、智慧物流等物流服务。</w:t>
      </w:r>
    </w:p>
    <w:p>
      <w:pPr>
        <w:pStyle w:val="9"/>
        <w:numPr>
          <w:ilvl w:val="0"/>
          <w:numId w:val="2"/>
        </w:numPr>
        <w:ind w:firstLineChars="0"/>
        <w:rPr>
          <w:b/>
          <w:bCs/>
        </w:rPr>
      </w:pPr>
      <w:r>
        <w:rPr>
          <w:rFonts w:hint="eastAsia"/>
          <w:b/>
          <w:bCs/>
        </w:rPr>
        <w:t>土地使用控制</w:t>
      </w:r>
    </w:p>
    <w:p>
      <w:pPr>
        <w:ind w:firstLine="640"/>
      </w:pPr>
      <w:r>
        <w:rPr>
          <w:rFonts w:hint="eastAsia"/>
        </w:rPr>
        <w:t>规划园区城市建设用地52.84公顷，严格控制在“多规合一”可建设用地范围内。园区土地控制分为“刚性—引导”两类，刚性内容原则上不可单独调整，引导内容可根据实际情况动态更新。</w:t>
      </w:r>
    </w:p>
    <w:p>
      <w:pPr>
        <w:ind w:firstLine="643"/>
        <w:rPr>
          <w:b/>
          <w:bCs/>
        </w:rPr>
      </w:pPr>
      <w:r>
        <w:rPr>
          <w:rFonts w:hint="eastAsia"/>
          <w:b/>
          <w:bCs/>
        </w:rPr>
        <w:t>1、刚性管控用地规划</w:t>
      </w:r>
    </w:p>
    <w:p>
      <w:pPr>
        <w:ind w:firstLine="640"/>
      </w:pPr>
      <w:r>
        <w:rPr>
          <w:rFonts w:hint="eastAsia"/>
        </w:rPr>
        <w:t>刚性管控用地按照发展用地、居住用地、服务用地、道路交通设施用地、市政公用设施用地的大类明确用地布局。其中，产业功能用地为复合用途用地，在实施中可根据实际情况，参考用地类型引导，作为园区主导产业需要的任一类型用地进行调整与出让。</w:t>
      </w:r>
    </w:p>
    <w:p>
      <w:pPr>
        <w:ind w:firstLine="643"/>
        <w:jc w:val="center"/>
        <w:rPr>
          <w:b/>
          <w:bCs/>
        </w:rPr>
      </w:pPr>
      <w:r>
        <w:rPr>
          <w:rFonts w:hint="eastAsia"/>
          <w:b/>
          <w:bCs/>
        </w:rPr>
        <w:t>刚性管控用地汇总表</w:t>
      </w:r>
    </w:p>
    <w:tbl>
      <w:tblPr>
        <w:tblStyle w:val="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693"/>
        <w:gridCol w:w="1168"/>
        <w:gridCol w:w="2077"/>
        <w:gridCol w:w="1311"/>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40" w:type="dxa"/>
            <w:vAlign w:val="center"/>
          </w:tcPr>
          <w:p>
            <w:pPr>
              <w:spacing w:line="400" w:lineRule="exact"/>
              <w:ind w:firstLine="0" w:firstLineChars="0"/>
              <w:jc w:val="center"/>
              <w:rPr>
                <w:b/>
                <w:bCs/>
                <w:sz w:val="24"/>
                <w:szCs w:val="24"/>
              </w:rPr>
            </w:pPr>
            <w:r>
              <w:rPr>
                <w:rFonts w:hint="eastAsia"/>
                <w:b/>
                <w:bCs/>
                <w:sz w:val="24"/>
                <w:szCs w:val="24"/>
              </w:rPr>
              <w:t>序号</w:t>
            </w:r>
          </w:p>
        </w:tc>
        <w:tc>
          <w:tcPr>
            <w:tcW w:w="1693" w:type="dxa"/>
            <w:vAlign w:val="center"/>
          </w:tcPr>
          <w:p>
            <w:pPr>
              <w:spacing w:line="400" w:lineRule="exact"/>
              <w:ind w:firstLine="412" w:firstLineChars="171"/>
              <w:rPr>
                <w:b/>
                <w:bCs/>
                <w:sz w:val="24"/>
                <w:szCs w:val="24"/>
              </w:rPr>
            </w:pPr>
            <w:r>
              <w:rPr>
                <w:rFonts w:hint="eastAsia"/>
                <w:b/>
                <w:bCs/>
                <w:sz w:val="24"/>
                <w:szCs w:val="24"/>
              </w:rPr>
              <w:t>类别</w:t>
            </w:r>
          </w:p>
        </w:tc>
        <w:tc>
          <w:tcPr>
            <w:tcW w:w="1168" w:type="dxa"/>
            <w:vAlign w:val="center"/>
          </w:tcPr>
          <w:p>
            <w:pPr>
              <w:spacing w:line="400" w:lineRule="exact"/>
              <w:ind w:firstLine="0" w:firstLineChars="0"/>
              <w:jc w:val="center"/>
              <w:rPr>
                <w:b/>
                <w:bCs/>
                <w:sz w:val="24"/>
                <w:szCs w:val="24"/>
              </w:rPr>
            </w:pPr>
            <w:r>
              <w:rPr>
                <w:rFonts w:hint="eastAsia"/>
                <w:b/>
                <w:bCs/>
                <w:sz w:val="24"/>
                <w:szCs w:val="24"/>
              </w:rPr>
              <w:t>用地代码</w:t>
            </w:r>
          </w:p>
        </w:tc>
        <w:tc>
          <w:tcPr>
            <w:tcW w:w="2077" w:type="dxa"/>
            <w:vAlign w:val="center"/>
          </w:tcPr>
          <w:p>
            <w:pPr>
              <w:spacing w:line="400" w:lineRule="exact"/>
              <w:ind w:firstLine="0" w:firstLineChars="0"/>
              <w:jc w:val="center"/>
              <w:rPr>
                <w:b/>
                <w:bCs/>
                <w:sz w:val="24"/>
                <w:szCs w:val="24"/>
              </w:rPr>
            </w:pPr>
            <w:r>
              <w:rPr>
                <w:rFonts w:hint="eastAsia"/>
                <w:b/>
                <w:bCs/>
                <w:sz w:val="24"/>
                <w:szCs w:val="24"/>
              </w:rPr>
              <w:t>用地名称</w:t>
            </w:r>
          </w:p>
        </w:tc>
        <w:tc>
          <w:tcPr>
            <w:tcW w:w="1311" w:type="dxa"/>
            <w:vAlign w:val="center"/>
          </w:tcPr>
          <w:p>
            <w:pPr>
              <w:spacing w:line="400" w:lineRule="exact"/>
              <w:ind w:firstLine="0" w:firstLineChars="0"/>
              <w:jc w:val="center"/>
              <w:rPr>
                <w:b/>
                <w:bCs/>
                <w:sz w:val="24"/>
                <w:szCs w:val="24"/>
              </w:rPr>
            </w:pPr>
            <w:r>
              <w:rPr>
                <w:rFonts w:hint="eastAsia"/>
                <w:b/>
                <w:bCs/>
                <w:sz w:val="24"/>
                <w:szCs w:val="24"/>
              </w:rPr>
              <w:t>用地面积</w:t>
            </w:r>
          </w:p>
          <w:p>
            <w:pPr>
              <w:spacing w:line="400" w:lineRule="exact"/>
              <w:ind w:firstLine="0" w:firstLineChars="0"/>
              <w:jc w:val="center"/>
              <w:rPr>
                <w:b/>
                <w:bCs/>
                <w:sz w:val="24"/>
                <w:szCs w:val="24"/>
              </w:rPr>
            </w:pPr>
            <w:r>
              <w:rPr>
                <w:rFonts w:hint="eastAsia"/>
                <w:b/>
                <w:bCs/>
                <w:sz w:val="24"/>
                <w:szCs w:val="24"/>
              </w:rPr>
              <w:t>（公顷）</w:t>
            </w:r>
          </w:p>
        </w:tc>
        <w:tc>
          <w:tcPr>
            <w:tcW w:w="1407" w:type="dxa"/>
            <w:vAlign w:val="center"/>
          </w:tcPr>
          <w:p>
            <w:pPr>
              <w:spacing w:line="400" w:lineRule="exact"/>
              <w:ind w:firstLine="171" w:firstLineChars="71"/>
              <w:jc w:val="center"/>
              <w:rPr>
                <w:b/>
                <w:bCs/>
                <w:sz w:val="24"/>
                <w:szCs w:val="24"/>
              </w:rPr>
            </w:pPr>
            <w:r>
              <w:rPr>
                <w:rFonts w:hint="eastAsia"/>
                <w:b/>
                <w:bCs/>
                <w:sz w:val="24"/>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40" w:type="dxa"/>
            <w:vMerge w:val="restart"/>
            <w:vAlign w:val="center"/>
          </w:tcPr>
          <w:p>
            <w:pPr>
              <w:spacing w:line="400" w:lineRule="exact"/>
              <w:ind w:firstLine="0" w:firstLineChars="0"/>
              <w:jc w:val="center"/>
              <w:rPr>
                <w:sz w:val="24"/>
                <w:szCs w:val="24"/>
              </w:rPr>
            </w:pPr>
            <w:r>
              <w:rPr>
                <w:rFonts w:hint="eastAsia"/>
                <w:sz w:val="24"/>
                <w:szCs w:val="24"/>
              </w:rPr>
              <w:t>1</w:t>
            </w:r>
          </w:p>
        </w:tc>
        <w:tc>
          <w:tcPr>
            <w:tcW w:w="1693" w:type="dxa"/>
            <w:vMerge w:val="restart"/>
            <w:vAlign w:val="center"/>
          </w:tcPr>
          <w:p>
            <w:pPr>
              <w:spacing w:line="400" w:lineRule="exact"/>
              <w:ind w:firstLine="0" w:firstLineChars="0"/>
              <w:jc w:val="center"/>
              <w:rPr>
                <w:sz w:val="24"/>
                <w:szCs w:val="24"/>
              </w:rPr>
            </w:pPr>
            <w:r>
              <w:rPr>
                <w:rFonts w:hint="eastAsia"/>
                <w:sz w:val="24"/>
                <w:szCs w:val="24"/>
              </w:rPr>
              <w:t>发展用地</w:t>
            </w:r>
          </w:p>
        </w:tc>
        <w:tc>
          <w:tcPr>
            <w:tcW w:w="1168" w:type="dxa"/>
            <w:vAlign w:val="center"/>
          </w:tcPr>
          <w:p>
            <w:pPr>
              <w:spacing w:line="400" w:lineRule="exact"/>
              <w:ind w:firstLine="0" w:firstLineChars="0"/>
              <w:jc w:val="center"/>
              <w:rPr>
                <w:sz w:val="24"/>
                <w:szCs w:val="24"/>
              </w:rPr>
            </w:pPr>
            <w:r>
              <w:rPr>
                <w:rFonts w:hint="eastAsia"/>
                <w:sz w:val="24"/>
                <w:szCs w:val="24"/>
              </w:rPr>
              <w:t>F</w:t>
            </w:r>
          </w:p>
        </w:tc>
        <w:tc>
          <w:tcPr>
            <w:tcW w:w="2077" w:type="dxa"/>
            <w:vAlign w:val="center"/>
          </w:tcPr>
          <w:p>
            <w:pPr>
              <w:spacing w:line="400" w:lineRule="exact"/>
              <w:ind w:firstLine="0" w:firstLineChars="0"/>
              <w:rPr>
                <w:sz w:val="24"/>
                <w:szCs w:val="24"/>
              </w:rPr>
            </w:pPr>
            <w:r>
              <w:rPr>
                <w:rFonts w:hint="eastAsia"/>
                <w:sz w:val="24"/>
                <w:szCs w:val="24"/>
              </w:rPr>
              <w:t>产业功能用地</w:t>
            </w:r>
          </w:p>
        </w:tc>
        <w:tc>
          <w:tcPr>
            <w:tcW w:w="1311" w:type="dxa"/>
            <w:vAlign w:val="center"/>
          </w:tcPr>
          <w:p>
            <w:pPr>
              <w:spacing w:line="400" w:lineRule="exact"/>
              <w:ind w:firstLine="199" w:firstLineChars="83"/>
              <w:rPr>
                <w:sz w:val="24"/>
                <w:szCs w:val="24"/>
              </w:rPr>
            </w:pPr>
            <w:r>
              <w:rPr>
                <w:rFonts w:hint="eastAsia"/>
                <w:sz w:val="24"/>
                <w:szCs w:val="24"/>
              </w:rPr>
              <w:t>24.41</w:t>
            </w:r>
          </w:p>
        </w:tc>
        <w:tc>
          <w:tcPr>
            <w:tcW w:w="1407" w:type="dxa"/>
            <w:vAlign w:val="center"/>
          </w:tcPr>
          <w:p>
            <w:pPr>
              <w:spacing w:line="400" w:lineRule="exact"/>
              <w:ind w:firstLine="0" w:firstLineChars="0"/>
              <w:jc w:val="center"/>
              <w:rPr>
                <w:sz w:val="24"/>
                <w:szCs w:val="24"/>
              </w:rPr>
            </w:pPr>
            <w:r>
              <w:rPr>
                <w:rFonts w:hint="eastAsia"/>
                <w:sz w:val="24"/>
                <w:szCs w:val="24"/>
              </w:rPr>
              <w:t>46.20%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40" w:type="dxa"/>
            <w:vMerge w:val="continue"/>
            <w:vAlign w:val="center"/>
          </w:tcPr>
          <w:p>
            <w:pPr>
              <w:spacing w:line="400" w:lineRule="exact"/>
              <w:ind w:firstLine="480"/>
              <w:jc w:val="center"/>
              <w:rPr>
                <w:sz w:val="24"/>
                <w:szCs w:val="24"/>
              </w:rPr>
            </w:pPr>
          </w:p>
        </w:tc>
        <w:tc>
          <w:tcPr>
            <w:tcW w:w="1693" w:type="dxa"/>
            <w:vMerge w:val="continue"/>
            <w:vAlign w:val="center"/>
          </w:tcPr>
          <w:p>
            <w:pPr>
              <w:spacing w:line="400" w:lineRule="exact"/>
              <w:ind w:firstLine="480"/>
              <w:jc w:val="center"/>
              <w:rPr>
                <w:sz w:val="24"/>
                <w:szCs w:val="24"/>
              </w:rPr>
            </w:pPr>
          </w:p>
        </w:tc>
        <w:tc>
          <w:tcPr>
            <w:tcW w:w="1168" w:type="dxa"/>
            <w:vAlign w:val="center"/>
          </w:tcPr>
          <w:p>
            <w:pPr>
              <w:spacing w:line="400" w:lineRule="exact"/>
              <w:ind w:firstLine="0" w:firstLineChars="0"/>
              <w:jc w:val="center"/>
              <w:rPr>
                <w:sz w:val="24"/>
                <w:szCs w:val="24"/>
              </w:rPr>
            </w:pPr>
            <w:r>
              <w:rPr>
                <w:rFonts w:hint="eastAsia"/>
                <w:sz w:val="24"/>
                <w:szCs w:val="24"/>
              </w:rPr>
              <w:t>O</w:t>
            </w:r>
          </w:p>
        </w:tc>
        <w:tc>
          <w:tcPr>
            <w:tcW w:w="2077" w:type="dxa"/>
            <w:vAlign w:val="center"/>
          </w:tcPr>
          <w:p>
            <w:pPr>
              <w:spacing w:line="400" w:lineRule="exact"/>
              <w:ind w:firstLine="0" w:firstLineChars="0"/>
              <w:rPr>
                <w:sz w:val="24"/>
                <w:szCs w:val="24"/>
              </w:rPr>
            </w:pPr>
            <w:r>
              <w:rPr>
                <w:rFonts w:hint="eastAsia"/>
                <w:sz w:val="24"/>
                <w:szCs w:val="24"/>
              </w:rPr>
              <w:t>现状出让用地</w:t>
            </w:r>
          </w:p>
        </w:tc>
        <w:tc>
          <w:tcPr>
            <w:tcW w:w="1311" w:type="dxa"/>
            <w:vAlign w:val="center"/>
          </w:tcPr>
          <w:p>
            <w:pPr>
              <w:spacing w:line="400" w:lineRule="exact"/>
              <w:ind w:firstLine="199" w:firstLineChars="83"/>
              <w:rPr>
                <w:sz w:val="24"/>
                <w:szCs w:val="24"/>
              </w:rPr>
            </w:pPr>
            <w:r>
              <w:rPr>
                <w:rFonts w:hint="eastAsia"/>
                <w:sz w:val="24"/>
                <w:szCs w:val="24"/>
              </w:rPr>
              <w:t>7.69</w:t>
            </w:r>
          </w:p>
        </w:tc>
        <w:tc>
          <w:tcPr>
            <w:tcW w:w="1407" w:type="dxa"/>
            <w:vAlign w:val="center"/>
          </w:tcPr>
          <w:p>
            <w:pPr>
              <w:spacing w:line="400" w:lineRule="exact"/>
              <w:ind w:firstLine="0" w:firstLineChars="0"/>
              <w:jc w:val="center"/>
              <w:rPr>
                <w:sz w:val="24"/>
                <w:szCs w:val="24"/>
              </w:rPr>
            </w:pPr>
            <w:r>
              <w:rPr>
                <w:rFonts w:hint="eastAsia"/>
                <w:sz w:val="24"/>
                <w:szCs w:val="24"/>
              </w:rPr>
              <w:t>14.56%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40" w:type="dxa"/>
            <w:vAlign w:val="center"/>
          </w:tcPr>
          <w:p>
            <w:pPr>
              <w:spacing w:line="400" w:lineRule="exact"/>
              <w:ind w:firstLine="0" w:firstLineChars="0"/>
              <w:jc w:val="center"/>
              <w:rPr>
                <w:sz w:val="24"/>
                <w:szCs w:val="24"/>
              </w:rPr>
            </w:pPr>
            <w:r>
              <w:rPr>
                <w:rFonts w:hint="eastAsia"/>
                <w:sz w:val="24"/>
                <w:szCs w:val="24"/>
              </w:rPr>
              <w:t>2</w:t>
            </w:r>
          </w:p>
        </w:tc>
        <w:tc>
          <w:tcPr>
            <w:tcW w:w="1693" w:type="dxa"/>
            <w:vAlign w:val="center"/>
          </w:tcPr>
          <w:p>
            <w:pPr>
              <w:spacing w:line="400" w:lineRule="exact"/>
              <w:ind w:firstLine="0" w:firstLineChars="0"/>
              <w:jc w:val="center"/>
              <w:rPr>
                <w:sz w:val="24"/>
                <w:szCs w:val="24"/>
              </w:rPr>
            </w:pPr>
            <w:r>
              <w:rPr>
                <w:rFonts w:hint="eastAsia"/>
                <w:sz w:val="24"/>
                <w:szCs w:val="24"/>
              </w:rPr>
              <w:t>居住用地</w:t>
            </w:r>
          </w:p>
          <w:p>
            <w:pPr>
              <w:spacing w:line="400" w:lineRule="exact"/>
              <w:ind w:firstLine="0" w:firstLineChars="0"/>
              <w:jc w:val="center"/>
              <w:rPr>
                <w:sz w:val="24"/>
                <w:szCs w:val="24"/>
              </w:rPr>
            </w:pPr>
            <w:r>
              <w:rPr>
                <w:rFonts w:hint="eastAsia"/>
                <w:sz w:val="24"/>
                <w:szCs w:val="24"/>
              </w:rPr>
              <w:t>（安置预留）</w:t>
            </w:r>
          </w:p>
        </w:tc>
        <w:tc>
          <w:tcPr>
            <w:tcW w:w="1168" w:type="dxa"/>
            <w:vAlign w:val="center"/>
          </w:tcPr>
          <w:p>
            <w:pPr>
              <w:spacing w:line="400" w:lineRule="exact"/>
              <w:ind w:firstLine="0" w:firstLineChars="0"/>
              <w:jc w:val="center"/>
              <w:rPr>
                <w:sz w:val="24"/>
                <w:szCs w:val="24"/>
              </w:rPr>
            </w:pPr>
            <w:r>
              <w:rPr>
                <w:rFonts w:hint="eastAsia"/>
                <w:sz w:val="24"/>
                <w:szCs w:val="24"/>
              </w:rPr>
              <w:t>R2/B1</w:t>
            </w:r>
          </w:p>
        </w:tc>
        <w:tc>
          <w:tcPr>
            <w:tcW w:w="2077" w:type="dxa"/>
            <w:vAlign w:val="center"/>
          </w:tcPr>
          <w:p>
            <w:pPr>
              <w:spacing w:line="400" w:lineRule="exact"/>
              <w:ind w:firstLine="0" w:firstLineChars="0"/>
              <w:rPr>
                <w:sz w:val="24"/>
                <w:szCs w:val="24"/>
              </w:rPr>
            </w:pPr>
            <w:r>
              <w:rPr>
                <w:rFonts w:hint="eastAsia"/>
                <w:sz w:val="24"/>
                <w:szCs w:val="24"/>
              </w:rPr>
              <w:t>二类居住混合商业用地</w:t>
            </w:r>
          </w:p>
        </w:tc>
        <w:tc>
          <w:tcPr>
            <w:tcW w:w="1311" w:type="dxa"/>
            <w:vAlign w:val="center"/>
          </w:tcPr>
          <w:p>
            <w:pPr>
              <w:spacing w:line="400" w:lineRule="exact"/>
              <w:ind w:firstLine="199" w:firstLineChars="83"/>
              <w:rPr>
                <w:sz w:val="24"/>
                <w:szCs w:val="24"/>
              </w:rPr>
            </w:pPr>
            <w:r>
              <w:rPr>
                <w:rFonts w:hint="eastAsia"/>
                <w:sz w:val="24"/>
                <w:szCs w:val="24"/>
              </w:rPr>
              <w:t>4.30</w:t>
            </w:r>
          </w:p>
        </w:tc>
        <w:tc>
          <w:tcPr>
            <w:tcW w:w="1407" w:type="dxa"/>
            <w:vAlign w:val="center"/>
          </w:tcPr>
          <w:p>
            <w:pPr>
              <w:spacing w:line="400" w:lineRule="exact"/>
              <w:ind w:firstLine="0" w:firstLineChars="0"/>
              <w:jc w:val="center"/>
              <w:rPr>
                <w:sz w:val="24"/>
                <w:szCs w:val="24"/>
              </w:rPr>
            </w:pPr>
            <w:r>
              <w:rPr>
                <w:rFonts w:hint="eastAsia"/>
                <w:sz w:val="24"/>
                <w:szCs w:val="24"/>
              </w:rPr>
              <w:t>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40" w:type="dxa"/>
            <w:vAlign w:val="center"/>
          </w:tcPr>
          <w:p>
            <w:pPr>
              <w:spacing w:line="400" w:lineRule="exact"/>
              <w:ind w:firstLine="0" w:firstLineChars="0"/>
              <w:jc w:val="center"/>
              <w:rPr>
                <w:sz w:val="24"/>
                <w:szCs w:val="24"/>
              </w:rPr>
            </w:pPr>
            <w:r>
              <w:rPr>
                <w:sz w:val="24"/>
                <w:szCs w:val="24"/>
              </w:rPr>
              <w:t>3</w:t>
            </w:r>
          </w:p>
        </w:tc>
        <w:tc>
          <w:tcPr>
            <w:tcW w:w="1693" w:type="dxa"/>
            <w:vAlign w:val="center"/>
          </w:tcPr>
          <w:p>
            <w:pPr>
              <w:spacing w:line="400" w:lineRule="exact"/>
              <w:ind w:firstLine="0" w:firstLineChars="0"/>
              <w:jc w:val="center"/>
              <w:rPr>
                <w:sz w:val="24"/>
                <w:szCs w:val="24"/>
              </w:rPr>
            </w:pPr>
            <w:r>
              <w:rPr>
                <w:rFonts w:hint="eastAsia"/>
                <w:sz w:val="24"/>
                <w:szCs w:val="24"/>
              </w:rPr>
              <w:t>服务用地</w:t>
            </w:r>
          </w:p>
        </w:tc>
        <w:tc>
          <w:tcPr>
            <w:tcW w:w="1168" w:type="dxa"/>
            <w:vAlign w:val="center"/>
          </w:tcPr>
          <w:p>
            <w:pPr>
              <w:spacing w:line="400" w:lineRule="exact"/>
              <w:ind w:firstLine="0" w:firstLineChars="0"/>
              <w:jc w:val="center"/>
              <w:rPr>
                <w:sz w:val="24"/>
                <w:szCs w:val="24"/>
              </w:rPr>
            </w:pPr>
            <w:r>
              <w:rPr>
                <w:rFonts w:hint="eastAsia"/>
                <w:sz w:val="24"/>
                <w:szCs w:val="24"/>
              </w:rPr>
              <w:t>G</w:t>
            </w:r>
          </w:p>
        </w:tc>
        <w:tc>
          <w:tcPr>
            <w:tcW w:w="2077" w:type="dxa"/>
            <w:vAlign w:val="center"/>
          </w:tcPr>
          <w:p>
            <w:pPr>
              <w:spacing w:line="400" w:lineRule="exact"/>
              <w:ind w:firstLine="0" w:firstLineChars="0"/>
              <w:rPr>
                <w:sz w:val="24"/>
                <w:szCs w:val="24"/>
              </w:rPr>
            </w:pPr>
            <w:r>
              <w:rPr>
                <w:rFonts w:hint="eastAsia"/>
                <w:sz w:val="24"/>
                <w:szCs w:val="24"/>
              </w:rPr>
              <w:t>绿地与广场用地</w:t>
            </w:r>
          </w:p>
        </w:tc>
        <w:tc>
          <w:tcPr>
            <w:tcW w:w="1311" w:type="dxa"/>
            <w:vAlign w:val="center"/>
          </w:tcPr>
          <w:p>
            <w:pPr>
              <w:spacing w:line="400" w:lineRule="exact"/>
              <w:ind w:firstLine="199" w:firstLineChars="83"/>
              <w:rPr>
                <w:sz w:val="24"/>
                <w:szCs w:val="24"/>
              </w:rPr>
            </w:pPr>
            <w:r>
              <w:rPr>
                <w:rFonts w:hint="eastAsia"/>
                <w:sz w:val="24"/>
                <w:szCs w:val="24"/>
              </w:rPr>
              <w:t>3.03</w:t>
            </w:r>
          </w:p>
        </w:tc>
        <w:tc>
          <w:tcPr>
            <w:tcW w:w="1407" w:type="dxa"/>
            <w:vAlign w:val="center"/>
          </w:tcPr>
          <w:p>
            <w:pPr>
              <w:spacing w:line="400" w:lineRule="exact"/>
              <w:ind w:firstLine="0" w:firstLineChars="0"/>
              <w:jc w:val="center"/>
              <w:rPr>
                <w:sz w:val="24"/>
                <w:szCs w:val="24"/>
              </w:rPr>
            </w:pPr>
            <w:r>
              <w:rPr>
                <w:rFonts w:hint="eastAsia"/>
                <w:sz w:val="24"/>
                <w:szCs w:val="24"/>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40" w:type="dxa"/>
            <w:vMerge w:val="restart"/>
            <w:vAlign w:val="center"/>
          </w:tcPr>
          <w:p>
            <w:pPr>
              <w:spacing w:line="400" w:lineRule="exact"/>
              <w:ind w:firstLine="199" w:firstLineChars="83"/>
              <w:rPr>
                <w:sz w:val="24"/>
                <w:szCs w:val="24"/>
              </w:rPr>
            </w:pPr>
            <w:r>
              <w:rPr>
                <w:rFonts w:hint="eastAsia"/>
                <w:sz w:val="24"/>
                <w:szCs w:val="24"/>
              </w:rPr>
              <w:t>4</w:t>
            </w:r>
          </w:p>
        </w:tc>
        <w:tc>
          <w:tcPr>
            <w:tcW w:w="1693" w:type="dxa"/>
            <w:vMerge w:val="restart"/>
            <w:vAlign w:val="center"/>
          </w:tcPr>
          <w:p>
            <w:pPr>
              <w:spacing w:line="400" w:lineRule="exact"/>
              <w:ind w:firstLine="0" w:firstLineChars="0"/>
              <w:jc w:val="center"/>
              <w:rPr>
                <w:sz w:val="24"/>
                <w:szCs w:val="24"/>
              </w:rPr>
            </w:pPr>
            <w:r>
              <w:rPr>
                <w:rFonts w:hint="eastAsia"/>
                <w:sz w:val="24"/>
                <w:szCs w:val="24"/>
              </w:rPr>
              <w:t>道路交通设施用地</w:t>
            </w:r>
          </w:p>
        </w:tc>
        <w:tc>
          <w:tcPr>
            <w:tcW w:w="1168" w:type="dxa"/>
            <w:vAlign w:val="center"/>
          </w:tcPr>
          <w:p>
            <w:pPr>
              <w:spacing w:line="400" w:lineRule="exact"/>
              <w:ind w:firstLine="0" w:firstLineChars="0"/>
              <w:jc w:val="center"/>
              <w:rPr>
                <w:sz w:val="24"/>
                <w:szCs w:val="24"/>
              </w:rPr>
            </w:pPr>
            <w:r>
              <w:rPr>
                <w:rFonts w:hint="eastAsia"/>
                <w:sz w:val="24"/>
                <w:szCs w:val="24"/>
              </w:rPr>
              <w:t>S1</w:t>
            </w:r>
          </w:p>
        </w:tc>
        <w:tc>
          <w:tcPr>
            <w:tcW w:w="2077" w:type="dxa"/>
            <w:vAlign w:val="center"/>
          </w:tcPr>
          <w:p>
            <w:pPr>
              <w:spacing w:line="400" w:lineRule="exact"/>
              <w:ind w:firstLine="0" w:firstLineChars="0"/>
              <w:rPr>
                <w:sz w:val="24"/>
                <w:szCs w:val="24"/>
              </w:rPr>
            </w:pPr>
            <w:r>
              <w:rPr>
                <w:rFonts w:hint="eastAsia"/>
                <w:sz w:val="24"/>
                <w:szCs w:val="24"/>
              </w:rPr>
              <w:t>城市道路用地</w:t>
            </w:r>
          </w:p>
        </w:tc>
        <w:tc>
          <w:tcPr>
            <w:tcW w:w="1311" w:type="dxa"/>
            <w:vAlign w:val="center"/>
          </w:tcPr>
          <w:p>
            <w:pPr>
              <w:spacing w:line="400" w:lineRule="exact"/>
              <w:ind w:firstLine="199" w:firstLineChars="83"/>
              <w:rPr>
                <w:sz w:val="24"/>
                <w:szCs w:val="24"/>
              </w:rPr>
            </w:pPr>
            <w:r>
              <w:rPr>
                <w:rFonts w:hint="eastAsia"/>
                <w:sz w:val="24"/>
                <w:szCs w:val="24"/>
              </w:rPr>
              <w:t>11.82</w:t>
            </w:r>
          </w:p>
        </w:tc>
        <w:tc>
          <w:tcPr>
            <w:tcW w:w="1407" w:type="dxa"/>
            <w:vAlign w:val="center"/>
          </w:tcPr>
          <w:p>
            <w:pPr>
              <w:spacing w:line="400" w:lineRule="exact"/>
              <w:ind w:firstLine="0" w:firstLineChars="0"/>
              <w:jc w:val="center"/>
              <w:rPr>
                <w:sz w:val="24"/>
                <w:szCs w:val="24"/>
              </w:rPr>
            </w:pPr>
            <w:r>
              <w:rPr>
                <w:rFonts w:hint="eastAsia"/>
                <w:sz w:val="24"/>
                <w:szCs w:val="24"/>
              </w:rPr>
              <w:t>22.37%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40" w:type="dxa"/>
            <w:vMerge w:val="continue"/>
            <w:vAlign w:val="center"/>
          </w:tcPr>
          <w:p>
            <w:pPr>
              <w:spacing w:line="400" w:lineRule="exact"/>
              <w:ind w:firstLine="480"/>
              <w:jc w:val="center"/>
              <w:rPr>
                <w:sz w:val="24"/>
                <w:szCs w:val="24"/>
              </w:rPr>
            </w:pPr>
          </w:p>
        </w:tc>
        <w:tc>
          <w:tcPr>
            <w:tcW w:w="1693" w:type="dxa"/>
            <w:vMerge w:val="continue"/>
            <w:vAlign w:val="center"/>
          </w:tcPr>
          <w:p>
            <w:pPr>
              <w:spacing w:line="400" w:lineRule="exact"/>
              <w:ind w:firstLine="480"/>
              <w:jc w:val="center"/>
              <w:rPr>
                <w:sz w:val="24"/>
                <w:szCs w:val="24"/>
              </w:rPr>
            </w:pPr>
          </w:p>
        </w:tc>
        <w:tc>
          <w:tcPr>
            <w:tcW w:w="1168" w:type="dxa"/>
            <w:vAlign w:val="center"/>
          </w:tcPr>
          <w:p>
            <w:pPr>
              <w:spacing w:line="400" w:lineRule="exact"/>
              <w:ind w:firstLine="0" w:firstLineChars="0"/>
              <w:jc w:val="center"/>
              <w:rPr>
                <w:sz w:val="24"/>
                <w:szCs w:val="24"/>
              </w:rPr>
            </w:pPr>
            <w:r>
              <w:rPr>
                <w:rFonts w:hint="eastAsia"/>
                <w:sz w:val="24"/>
                <w:szCs w:val="24"/>
              </w:rPr>
              <w:t>S42</w:t>
            </w:r>
          </w:p>
        </w:tc>
        <w:tc>
          <w:tcPr>
            <w:tcW w:w="2077" w:type="dxa"/>
            <w:vAlign w:val="center"/>
          </w:tcPr>
          <w:p>
            <w:pPr>
              <w:spacing w:line="400" w:lineRule="exact"/>
              <w:ind w:firstLine="0" w:firstLineChars="0"/>
              <w:rPr>
                <w:sz w:val="24"/>
                <w:szCs w:val="24"/>
              </w:rPr>
            </w:pPr>
            <w:r>
              <w:rPr>
                <w:rFonts w:hint="eastAsia"/>
                <w:sz w:val="24"/>
                <w:szCs w:val="24"/>
              </w:rPr>
              <w:t>社会停车场用地</w:t>
            </w:r>
          </w:p>
        </w:tc>
        <w:tc>
          <w:tcPr>
            <w:tcW w:w="1311" w:type="dxa"/>
            <w:vAlign w:val="center"/>
          </w:tcPr>
          <w:p>
            <w:pPr>
              <w:spacing w:line="400" w:lineRule="exact"/>
              <w:ind w:firstLine="199" w:firstLineChars="83"/>
              <w:rPr>
                <w:sz w:val="24"/>
                <w:szCs w:val="24"/>
              </w:rPr>
            </w:pPr>
            <w:r>
              <w:rPr>
                <w:rFonts w:hint="eastAsia"/>
                <w:sz w:val="24"/>
                <w:szCs w:val="24"/>
              </w:rPr>
              <w:t>0.30</w:t>
            </w:r>
          </w:p>
        </w:tc>
        <w:tc>
          <w:tcPr>
            <w:tcW w:w="1407" w:type="dxa"/>
            <w:vAlign w:val="center"/>
          </w:tcPr>
          <w:p>
            <w:pPr>
              <w:spacing w:line="400" w:lineRule="exact"/>
              <w:ind w:firstLine="0" w:firstLineChars="0"/>
              <w:jc w:val="center"/>
              <w:rPr>
                <w:sz w:val="24"/>
                <w:szCs w:val="24"/>
              </w:rPr>
            </w:pPr>
            <w:r>
              <w:rPr>
                <w:rFonts w:hint="eastAsia"/>
                <w:sz w:val="24"/>
                <w:szCs w:val="24"/>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40" w:type="dxa"/>
            <w:vMerge w:val="continue"/>
            <w:vAlign w:val="center"/>
          </w:tcPr>
          <w:p>
            <w:pPr>
              <w:spacing w:line="400" w:lineRule="exact"/>
              <w:ind w:firstLine="480"/>
              <w:jc w:val="center"/>
              <w:rPr>
                <w:sz w:val="24"/>
                <w:szCs w:val="24"/>
              </w:rPr>
            </w:pPr>
          </w:p>
        </w:tc>
        <w:tc>
          <w:tcPr>
            <w:tcW w:w="1693" w:type="dxa"/>
            <w:vMerge w:val="continue"/>
            <w:vAlign w:val="center"/>
          </w:tcPr>
          <w:p>
            <w:pPr>
              <w:spacing w:line="400" w:lineRule="exact"/>
              <w:ind w:firstLine="480"/>
              <w:jc w:val="center"/>
              <w:rPr>
                <w:sz w:val="24"/>
                <w:szCs w:val="24"/>
              </w:rPr>
            </w:pPr>
          </w:p>
        </w:tc>
        <w:tc>
          <w:tcPr>
            <w:tcW w:w="1168" w:type="dxa"/>
            <w:vAlign w:val="center"/>
          </w:tcPr>
          <w:p>
            <w:pPr>
              <w:spacing w:line="400" w:lineRule="exact"/>
              <w:ind w:firstLine="0" w:firstLineChars="0"/>
              <w:jc w:val="center"/>
              <w:rPr>
                <w:sz w:val="24"/>
                <w:szCs w:val="24"/>
              </w:rPr>
            </w:pPr>
            <w:r>
              <w:rPr>
                <w:rFonts w:hint="eastAsia"/>
                <w:sz w:val="24"/>
                <w:szCs w:val="24"/>
              </w:rPr>
              <w:t>B41</w:t>
            </w:r>
          </w:p>
        </w:tc>
        <w:tc>
          <w:tcPr>
            <w:tcW w:w="2077" w:type="dxa"/>
            <w:vAlign w:val="center"/>
          </w:tcPr>
          <w:p>
            <w:pPr>
              <w:spacing w:line="400" w:lineRule="exact"/>
              <w:ind w:firstLine="0" w:firstLineChars="0"/>
              <w:rPr>
                <w:sz w:val="24"/>
                <w:szCs w:val="24"/>
              </w:rPr>
            </w:pPr>
            <w:r>
              <w:rPr>
                <w:rFonts w:hint="eastAsia"/>
                <w:sz w:val="24"/>
                <w:szCs w:val="24"/>
              </w:rPr>
              <w:t>加油加气站用地</w:t>
            </w:r>
          </w:p>
        </w:tc>
        <w:tc>
          <w:tcPr>
            <w:tcW w:w="1311" w:type="dxa"/>
            <w:vAlign w:val="center"/>
          </w:tcPr>
          <w:p>
            <w:pPr>
              <w:spacing w:line="400" w:lineRule="exact"/>
              <w:ind w:firstLine="199" w:firstLineChars="83"/>
              <w:rPr>
                <w:sz w:val="24"/>
                <w:szCs w:val="24"/>
              </w:rPr>
            </w:pPr>
            <w:r>
              <w:rPr>
                <w:rFonts w:hint="eastAsia"/>
                <w:sz w:val="24"/>
                <w:szCs w:val="24"/>
              </w:rPr>
              <w:t>0.20</w:t>
            </w:r>
          </w:p>
        </w:tc>
        <w:tc>
          <w:tcPr>
            <w:tcW w:w="1407" w:type="dxa"/>
            <w:vAlign w:val="center"/>
          </w:tcPr>
          <w:p>
            <w:pPr>
              <w:spacing w:line="400" w:lineRule="exact"/>
              <w:ind w:firstLine="0" w:firstLineChars="0"/>
              <w:jc w:val="center"/>
              <w:rPr>
                <w:sz w:val="24"/>
                <w:szCs w:val="24"/>
              </w:rPr>
            </w:pPr>
            <w:r>
              <w:rPr>
                <w:rFonts w:hint="eastAsia"/>
                <w:sz w:val="24"/>
                <w:szCs w:val="24"/>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40" w:type="dxa"/>
            <w:vMerge w:val="restart"/>
            <w:vAlign w:val="center"/>
          </w:tcPr>
          <w:p>
            <w:pPr>
              <w:spacing w:line="400" w:lineRule="exact"/>
              <w:ind w:firstLine="0" w:firstLineChars="0"/>
              <w:jc w:val="center"/>
              <w:rPr>
                <w:sz w:val="24"/>
                <w:szCs w:val="24"/>
              </w:rPr>
            </w:pPr>
            <w:r>
              <w:rPr>
                <w:sz w:val="24"/>
                <w:szCs w:val="24"/>
              </w:rPr>
              <w:t>5</w:t>
            </w:r>
          </w:p>
        </w:tc>
        <w:tc>
          <w:tcPr>
            <w:tcW w:w="1693" w:type="dxa"/>
            <w:vMerge w:val="restart"/>
            <w:vAlign w:val="center"/>
          </w:tcPr>
          <w:p>
            <w:pPr>
              <w:spacing w:line="400" w:lineRule="exact"/>
              <w:ind w:firstLine="0" w:firstLineChars="0"/>
              <w:jc w:val="center"/>
              <w:rPr>
                <w:sz w:val="24"/>
                <w:szCs w:val="24"/>
              </w:rPr>
            </w:pPr>
            <w:r>
              <w:rPr>
                <w:rFonts w:hint="eastAsia"/>
                <w:sz w:val="24"/>
                <w:szCs w:val="24"/>
              </w:rPr>
              <w:t>市政公用设施用地</w:t>
            </w:r>
          </w:p>
        </w:tc>
        <w:tc>
          <w:tcPr>
            <w:tcW w:w="1168" w:type="dxa"/>
            <w:vAlign w:val="center"/>
          </w:tcPr>
          <w:p>
            <w:pPr>
              <w:spacing w:line="400" w:lineRule="exact"/>
              <w:ind w:firstLine="0" w:firstLineChars="0"/>
              <w:jc w:val="center"/>
              <w:rPr>
                <w:sz w:val="24"/>
                <w:szCs w:val="24"/>
              </w:rPr>
            </w:pPr>
            <w:r>
              <w:rPr>
                <w:rFonts w:hint="eastAsia"/>
                <w:sz w:val="24"/>
                <w:szCs w:val="24"/>
              </w:rPr>
              <w:t>U12</w:t>
            </w:r>
          </w:p>
        </w:tc>
        <w:tc>
          <w:tcPr>
            <w:tcW w:w="2077" w:type="dxa"/>
            <w:vAlign w:val="center"/>
          </w:tcPr>
          <w:p>
            <w:pPr>
              <w:spacing w:line="400" w:lineRule="exact"/>
              <w:ind w:firstLine="0" w:firstLineChars="0"/>
              <w:rPr>
                <w:sz w:val="24"/>
                <w:szCs w:val="24"/>
              </w:rPr>
            </w:pPr>
            <w:r>
              <w:rPr>
                <w:rFonts w:hint="eastAsia"/>
                <w:sz w:val="24"/>
                <w:szCs w:val="24"/>
              </w:rPr>
              <w:t>供电用地</w:t>
            </w:r>
          </w:p>
        </w:tc>
        <w:tc>
          <w:tcPr>
            <w:tcW w:w="1311" w:type="dxa"/>
            <w:vAlign w:val="center"/>
          </w:tcPr>
          <w:p>
            <w:pPr>
              <w:spacing w:line="400" w:lineRule="exact"/>
              <w:ind w:firstLine="199" w:firstLineChars="83"/>
              <w:rPr>
                <w:sz w:val="24"/>
                <w:szCs w:val="24"/>
              </w:rPr>
            </w:pPr>
            <w:r>
              <w:rPr>
                <w:rFonts w:hint="eastAsia"/>
                <w:sz w:val="24"/>
                <w:szCs w:val="24"/>
              </w:rPr>
              <w:t>0.34</w:t>
            </w:r>
          </w:p>
        </w:tc>
        <w:tc>
          <w:tcPr>
            <w:tcW w:w="1407" w:type="dxa"/>
            <w:vAlign w:val="center"/>
          </w:tcPr>
          <w:p>
            <w:pPr>
              <w:spacing w:line="400" w:lineRule="exact"/>
              <w:ind w:firstLine="0" w:firstLineChars="0"/>
              <w:jc w:val="center"/>
              <w:rPr>
                <w:sz w:val="24"/>
                <w:szCs w:val="24"/>
              </w:rPr>
            </w:pPr>
            <w:r>
              <w:rPr>
                <w:rFonts w:hint="eastAsia"/>
                <w:sz w:val="24"/>
                <w:szCs w:val="24"/>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40" w:type="dxa"/>
            <w:vMerge w:val="continue"/>
            <w:vAlign w:val="center"/>
          </w:tcPr>
          <w:p>
            <w:pPr>
              <w:spacing w:line="400" w:lineRule="exact"/>
              <w:ind w:firstLine="480"/>
              <w:jc w:val="center"/>
              <w:rPr>
                <w:sz w:val="24"/>
                <w:szCs w:val="24"/>
              </w:rPr>
            </w:pPr>
          </w:p>
        </w:tc>
        <w:tc>
          <w:tcPr>
            <w:tcW w:w="1693" w:type="dxa"/>
            <w:vMerge w:val="continue"/>
            <w:vAlign w:val="center"/>
          </w:tcPr>
          <w:p>
            <w:pPr>
              <w:spacing w:line="400" w:lineRule="exact"/>
              <w:ind w:firstLine="480"/>
              <w:jc w:val="center"/>
              <w:rPr>
                <w:sz w:val="24"/>
                <w:szCs w:val="24"/>
              </w:rPr>
            </w:pPr>
          </w:p>
        </w:tc>
        <w:tc>
          <w:tcPr>
            <w:tcW w:w="1168" w:type="dxa"/>
            <w:vAlign w:val="center"/>
          </w:tcPr>
          <w:p>
            <w:pPr>
              <w:spacing w:line="400" w:lineRule="exact"/>
              <w:ind w:firstLine="0" w:firstLineChars="0"/>
              <w:jc w:val="center"/>
              <w:rPr>
                <w:sz w:val="24"/>
                <w:szCs w:val="24"/>
              </w:rPr>
            </w:pPr>
            <w:r>
              <w:rPr>
                <w:rFonts w:hint="eastAsia"/>
                <w:sz w:val="24"/>
                <w:szCs w:val="24"/>
              </w:rPr>
              <w:t>U21</w:t>
            </w:r>
          </w:p>
        </w:tc>
        <w:tc>
          <w:tcPr>
            <w:tcW w:w="2077" w:type="dxa"/>
            <w:vAlign w:val="center"/>
          </w:tcPr>
          <w:p>
            <w:pPr>
              <w:spacing w:line="400" w:lineRule="exact"/>
              <w:ind w:firstLine="0" w:firstLineChars="0"/>
              <w:rPr>
                <w:sz w:val="24"/>
                <w:szCs w:val="24"/>
              </w:rPr>
            </w:pPr>
            <w:r>
              <w:rPr>
                <w:rFonts w:hint="eastAsia"/>
                <w:sz w:val="24"/>
                <w:szCs w:val="24"/>
              </w:rPr>
              <w:t>排水设施用地</w:t>
            </w:r>
          </w:p>
        </w:tc>
        <w:tc>
          <w:tcPr>
            <w:tcW w:w="1311" w:type="dxa"/>
            <w:vAlign w:val="center"/>
          </w:tcPr>
          <w:p>
            <w:pPr>
              <w:spacing w:line="400" w:lineRule="exact"/>
              <w:ind w:firstLine="199" w:firstLineChars="83"/>
              <w:rPr>
                <w:sz w:val="24"/>
                <w:szCs w:val="24"/>
              </w:rPr>
            </w:pPr>
            <w:r>
              <w:rPr>
                <w:rFonts w:hint="eastAsia"/>
                <w:sz w:val="24"/>
                <w:szCs w:val="24"/>
              </w:rPr>
              <w:t>0.39</w:t>
            </w:r>
          </w:p>
        </w:tc>
        <w:tc>
          <w:tcPr>
            <w:tcW w:w="1407" w:type="dxa"/>
            <w:vAlign w:val="center"/>
          </w:tcPr>
          <w:p>
            <w:pPr>
              <w:spacing w:line="400" w:lineRule="exact"/>
              <w:ind w:firstLine="0" w:firstLineChars="0"/>
              <w:jc w:val="center"/>
              <w:rPr>
                <w:sz w:val="24"/>
                <w:szCs w:val="24"/>
              </w:rPr>
            </w:pPr>
            <w:r>
              <w:rPr>
                <w:rFonts w:hint="eastAsia"/>
                <w:sz w:val="24"/>
                <w:szCs w:val="24"/>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40" w:type="dxa"/>
            <w:vMerge w:val="continue"/>
            <w:vAlign w:val="center"/>
          </w:tcPr>
          <w:p>
            <w:pPr>
              <w:spacing w:line="400" w:lineRule="exact"/>
              <w:ind w:firstLine="480"/>
              <w:jc w:val="center"/>
              <w:rPr>
                <w:sz w:val="24"/>
                <w:szCs w:val="24"/>
              </w:rPr>
            </w:pPr>
          </w:p>
        </w:tc>
        <w:tc>
          <w:tcPr>
            <w:tcW w:w="1693" w:type="dxa"/>
            <w:vMerge w:val="continue"/>
            <w:vAlign w:val="center"/>
          </w:tcPr>
          <w:p>
            <w:pPr>
              <w:spacing w:line="400" w:lineRule="exact"/>
              <w:ind w:firstLine="480"/>
              <w:jc w:val="center"/>
              <w:rPr>
                <w:sz w:val="24"/>
                <w:szCs w:val="24"/>
              </w:rPr>
            </w:pPr>
          </w:p>
        </w:tc>
        <w:tc>
          <w:tcPr>
            <w:tcW w:w="1168" w:type="dxa"/>
            <w:vAlign w:val="center"/>
          </w:tcPr>
          <w:p>
            <w:pPr>
              <w:spacing w:line="400" w:lineRule="exact"/>
              <w:ind w:firstLine="0" w:firstLineChars="0"/>
              <w:jc w:val="center"/>
              <w:rPr>
                <w:sz w:val="24"/>
                <w:szCs w:val="24"/>
              </w:rPr>
            </w:pPr>
            <w:r>
              <w:rPr>
                <w:rFonts w:hint="eastAsia"/>
                <w:sz w:val="24"/>
                <w:szCs w:val="24"/>
              </w:rPr>
              <w:t>U22</w:t>
            </w:r>
          </w:p>
        </w:tc>
        <w:tc>
          <w:tcPr>
            <w:tcW w:w="2077" w:type="dxa"/>
            <w:vAlign w:val="center"/>
          </w:tcPr>
          <w:p>
            <w:pPr>
              <w:spacing w:line="400" w:lineRule="exact"/>
              <w:ind w:firstLine="0" w:firstLineChars="0"/>
              <w:rPr>
                <w:sz w:val="24"/>
                <w:szCs w:val="24"/>
              </w:rPr>
            </w:pPr>
            <w:r>
              <w:rPr>
                <w:rFonts w:hint="eastAsia"/>
                <w:sz w:val="24"/>
                <w:szCs w:val="24"/>
              </w:rPr>
              <w:t>环卫设施用地</w:t>
            </w:r>
          </w:p>
        </w:tc>
        <w:tc>
          <w:tcPr>
            <w:tcW w:w="1311" w:type="dxa"/>
            <w:vAlign w:val="center"/>
          </w:tcPr>
          <w:p>
            <w:pPr>
              <w:spacing w:line="400" w:lineRule="exact"/>
              <w:ind w:firstLine="199" w:firstLineChars="83"/>
              <w:rPr>
                <w:sz w:val="24"/>
                <w:szCs w:val="24"/>
              </w:rPr>
            </w:pPr>
            <w:r>
              <w:rPr>
                <w:rFonts w:hint="eastAsia"/>
                <w:sz w:val="24"/>
                <w:szCs w:val="24"/>
              </w:rPr>
              <w:t>0.15</w:t>
            </w:r>
          </w:p>
        </w:tc>
        <w:tc>
          <w:tcPr>
            <w:tcW w:w="1407" w:type="dxa"/>
            <w:vAlign w:val="center"/>
          </w:tcPr>
          <w:p>
            <w:pPr>
              <w:spacing w:line="400" w:lineRule="exact"/>
              <w:ind w:firstLine="0" w:firstLineChars="0"/>
              <w:jc w:val="center"/>
              <w:rPr>
                <w:sz w:val="24"/>
                <w:szCs w:val="24"/>
              </w:rPr>
            </w:pPr>
            <w:r>
              <w:rPr>
                <w:rFonts w:hint="eastAsia"/>
                <w:sz w:val="24"/>
                <w:szCs w:val="24"/>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40" w:type="dxa"/>
            <w:vMerge w:val="continue"/>
            <w:vAlign w:val="center"/>
          </w:tcPr>
          <w:p>
            <w:pPr>
              <w:spacing w:line="400" w:lineRule="exact"/>
              <w:ind w:firstLine="480"/>
              <w:jc w:val="center"/>
              <w:rPr>
                <w:sz w:val="24"/>
                <w:szCs w:val="24"/>
              </w:rPr>
            </w:pPr>
          </w:p>
        </w:tc>
        <w:tc>
          <w:tcPr>
            <w:tcW w:w="1693" w:type="dxa"/>
            <w:vMerge w:val="continue"/>
            <w:vAlign w:val="center"/>
          </w:tcPr>
          <w:p>
            <w:pPr>
              <w:spacing w:line="400" w:lineRule="exact"/>
              <w:ind w:firstLine="480"/>
              <w:jc w:val="center"/>
              <w:rPr>
                <w:sz w:val="24"/>
                <w:szCs w:val="24"/>
              </w:rPr>
            </w:pPr>
          </w:p>
        </w:tc>
        <w:tc>
          <w:tcPr>
            <w:tcW w:w="1168" w:type="dxa"/>
            <w:vAlign w:val="center"/>
          </w:tcPr>
          <w:p>
            <w:pPr>
              <w:spacing w:line="400" w:lineRule="exact"/>
              <w:ind w:firstLine="0" w:firstLineChars="0"/>
              <w:jc w:val="center"/>
              <w:rPr>
                <w:sz w:val="24"/>
                <w:szCs w:val="24"/>
              </w:rPr>
            </w:pPr>
            <w:r>
              <w:rPr>
                <w:rFonts w:hint="eastAsia"/>
                <w:sz w:val="24"/>
                <w:szCs w:val="24"/>
              </w:rPr>
              <w:t>U31</w:t>
            </w:r>
          </w:p>
        </w:tc>
        <w:tc>
          <w:tcPr>
            <w:tcW w:w="2077" w:type="dxa"/>
            <w:vAlign w:val="center"/>
          </w:tcPr>
          <w:p>
            <w:pPr>
              <w:spacing w:line="400" w:lineRule="exact"/>
              <w:ind w:firstLine="0" w:firstLineChars="0"/>
              <w:rPr>
                <w:sz w:val="24"/>
                <w:szCs w:val="24"/>
              </w:rPr>
            </w:pPr>
            <w:r>
              <w:rPr>
                <w:rFonts w:hint="eastAsia"/>
                <w:sz w:val="24"/>
                <w:szCs w:val="24"/>
              </w:rPr>
              <w:t>消防设施用地</w:t>
            </w:r>
          </w:p>
        </w:tc>
        <w:tc>
          <w:tcPr>
            <w:tcW w:w="1311" w:type="dxa"/>
            <w:vAlign w:val="center"/>
          </w:tcPr>
          <w:p>
            <w:pPr>
              <w:spacing w:line="400" w:lineRule="exact"/>
              <w:ind w:firstLine="199" w:firstLineChars="83"/>
              <w:rPr>
                <w:sz w:val="24"/>
                <w:szCs w:val="24"/>
              </w:rPr>
            </w:pPr>
            <w:r>
              <w:rPr>
                <w:rFonts w:hint="eastAsia"/>
                <w:sz w:val="24"/>
                <w:szCs w:val="24"/>
              </w:rPr>
              <w:t>0.20</w:t>
            </w:r>
          </w:p>
        </w:tc>
        <w:tc>
          <w:tcPr>
            <w:tcW w:w="1407" w:type="dxa"/>
            <w:vAlign w:val="center"/>
          </w:tcPr>
          <w:p>
            <w:pPr>
              <w:spacing w:line="400" w:lineRule="exact"/>
              <w:ind w:firstLine="0" w:firstLineChars="0"/>
              <w:jc w:val="center"/>
              <w:rPr>
                <w:sz w:val="24"/>
                <w:szCs w:val="24"/>
              </w:rPr>
            </w:pPr>
            <w:r>
              <w:rPr>
                <w:rFonts w:hint="eastAsia"/>
                <w:sz w:val="24"/>
                <w:szCs w:val="24"/>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578" w:type="dxa"/>
            <w:gridSpan w:val="4"/>
            <w:vAlign w:val="center"/>
          </w:tcPr>
          <w:p>
            <w:pPr>
              <w:spacing w:line="400" w:lineRule="exact"/>
              <w:ind w:firstLine="480"/>
              <w:jc w:val="center"/>
              <w:rPr>
                <w:sz w:val="24"/>
                <w:szCs w:val="24"/>
              </w:rPr>
            </w:pPr>
            <w:r>
              <w:rPr>
                <w:rFonts w:hint="eastAsia"/>
                <w:sz w:val="24"/>
                <w:szCs w:val="24"/>
              </w:rPr>
              <w:t>合计</w:t>
            </w:r>
          </w:p>
        </w:tc>
        <w:tc>
          <w:tcPr>
            <w:tcW w:w="1311" w:type="dxa"/>
            <w:vAlign w:val="center"/>
          </w:tcPr>
          <w:p>
            <w:pPr>
              <w:spacing w:line="400" w:lineRule="exact"/>
              <w:ind w:firstLine="199" w:firstLineChars="83"/>
              <w:rPr>
                <w:sz w:val="24"/>
                <w:szCs w:val="24"/>
              </w:rPr>
            </w:pPr>
            <w:r>
              <w:rPr>
                <w:rFonts w:hint="eastAsia"/>
                <w:sz w:val="24"/>
                <w:szCs w:val="24"/>
              </w:rPr>
              <w:t>52.84</w:t>
            </w:r>
          </w:p>
        </w:tc>
        <w:tc>
          <w:tcPr>
            <w:tcW w:w="1407" w:type="dxa"/>
            <w:vAlign w:val="center"/>
          </w:tcPr>
          <w:p>
            <w:pPr>
              <w:spacing w:line="400" w:lineRule="exact"/>
              <w:ind w:firstLine="0" w:firstLineChars="0"/>
              <w:jc w:val="center"/>
              <w:rPr>
                <w:sz w:val="24"/>
                <w:szCs w:val="24"/>
              </w:rPr>
            </w:pPr>
            <w:r>
              <w:rPr>
                <w:rFonts w:hint="eastAsia"/>
                <w:sz w:val="24"/>
                <w:szCs w:val="24"/>
              </w:rPr>
              <w:t>100.00%</w:t>
            </w:r>
          </w:p>
        </w:tc>
      </w:tr>
    </w:tbl>
    <w:p>
      <w:pPr>
        <w:ind w:firstLine="643"/>
        <w:jc w:val="center"/>
        <w:rPr>
          <w:b/>
          <w:bCs/>
        </w:rPr>
      </w:pPr>
      <w:r>
        <w:rPr>
          <w:rFonts w:hint="eastAsia"/>
          <w:b/>
          <w:bCs/>
        </w:rPr>
        <w:t>产业功能用地引导</w:t>
      </w:r>
    </w:p>
    <w:tbl>
      <w:tblPr>
        <w:tblStyle w:val="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84"/>
        <w:gridCol w:w="1732"/>
        <w:gridCol w:w="3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1555" w:type="dxa"/>
            <w:vAlign w:val="center"/>
          </w:tcPr>
          <w:p>
            <w:pPr>
              <w:spacing w:line="400" w:lineRule="exact"/>
              <w:ind w:firstLine="0" w:firstLineChars="0"/>
              <w:jc w:val="center"/>
              <w:rPr>
                <w:b/>
                <w:bCs/>
                <w:sz w:val="24"/>
                <w:szCs w:val="24"/>
              </w:rPr>
            </w:pPr>
            <w:r>
              <w:rPr>
                <w:rFonts w:hint="eastAsia"/>
                <w:b/>
                <w:bCs/>
                <w:sz w:val="24"/>
                <w:szCs w:val="24"/>
              </w:rPr>
              <w:t>功能分区</w:t>
            </w:r>
          </w:p>
        </w:tc>
        <w:tc>
          <w:tcPr>
            <w:tcW w:w="1984" w:type="dxa"/>
            <w:vAlign w:val="center"/>
          </w:tcPr>
          <w:p>
            <w:pPr>
              <w:spacing w:line="400" w:lineRule="exact"/>
              <w:ind w:firstLine="0" w:firstLineChars="0"/>
              <w:jc w:val="center"/>
              <w:rPr>
                <w:b/>
                <w:bCs/>
                <w:sz w:val="24"/>
                <w:szCs w:val="24"/>
              </w:rPr>
            </w:pPr>
            <w:r>
              <w:rPr>
                <w:rFonts w:hint="eastAsia"/>
                <w:b/>
                <w:bCs/>
                <w:sz w:val="24"/>
                <w:szCs w:val="24"/>
              </w:rPr>
              <w:t>产业功能</w:t>
            </w:r>
          </w:p>
          <w:p>
            <w:pPr>
              <w:spacing w:line="400" w:lineRule="exact"/>
              <w:ind w:firstLine="0" w:firstLineChars="0"/>
              <w:rPr>
                <w:b/>
                <w:bCs/>
                <w:sz w:val="24"/>
                <w:szCs w:val="24"/>
              </w:rPr>
            </w:pPr>
            <w:r>
              <w:rPr>
                <w:rFonts w:hint="eastAsia"/>
                <w:b/>
                <w:bCs/>
                <w:sz w:val="24"/>
                <w:szCs w:val="24"/>
              </w:rPr>
              <w:t>用地面积（公顷）</w:t>
            </w:r>
          </w:p>
        </w:tc>
        <w:tc>
          <w:tcPr>
            <w:tcW w:w="1732" w:type="dxa"/>
            <w:vAlign w:val="center"/>
          </w:tcPr>
          <w:p>
            <w:pPr>
              <w:spacing w:line="400" w:lineRule="exact"/>
              <w:ind w:firstLine="0" w:firstLineChars="0"/>
              <w:rPr>
                <w:b/>
                <w:bCs/>
                <w:sz w:val="24"/>
                <w:szCs w:val="24"/>
              </w:rPr>
            </w:pPr>
            <w:r>
              <w:rPr>
                <w:rFonts w:hint="eastAsia"/>
                <w:b/>
                <w:bCs/>
                <w:sz w:val="24"/>
                <w:szCs w:val="24"/>
              </w:rPr>
              <w:t>用地类型引导</w:t>
            </w:r>
          </w:p>
        </w:tc>
        <w:tc>
          <w:tcPr>
            <w:tcW w:w="3025" w:type="dxa"/>
            <w:vAlign w:val="center"/>
          </w:tcPr>
          <w:p>
            <w:pPr>
              <w:spacing w:line="400" w:lineRule="exact"/>
              <w:ind w:firstLine="0" w:firstLineChars="0"/>
              <w:jc w:val="center"/>
              <w:rPr>
                <w:b/>
                <w:bCs/>
                <w:sz w:val="24"/>
                <w:szCs w:val="24"/>
              </w:rPr>
            </w:pPr>
            <w:r>
              <w:rPr>
                <w:rFonts w:hint="eastAsia"/>
                <w:b/>
                <w:bCs/>
                <w:sz w:val="24"/>
                <w:szCs w:val="24"/>
              </w:rPr>
              <w:t>招商引导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trPr>
        <w:tc>
          <w:tcPr>
            <w:tcW w:w="1555" w:type="dxa"/>
            <w:vAlign w:val="center"/>
          </w:tcPr>
          <w:p>
            <w:pPr>
              <w:spacing w:line="400" w:lineRule="exact"/>
              <w:ind w:firstLine="0" w:firstLineChars="0"/>
              <w:rPr>
                <w:sz w:val="24"/>
                <w:szCs w:val="24"/>
              </w:rPr>
            </w:pPr>
            <w:r>
              <w:rPr>
                <w:rFonts w:hint="eastAsia"/>
                <w:sz w:val="24"/>
                <w:szCs w:val="24"/>
              </w:rPr>
              <w:t>自贸物流区</w:t>
            </w:r>
          </w:p>
        </w:tc>
        <w:tc>
          <w:tcPr>
            <w:tcW w:w="1984" w:type="dxa"/>
            <w:vAlign w:val="center"/>
          </w:tcPr>
          <w:p>
            <w:pPr>
              <w:spacing w:line="400" w:lineRule="exact"/>
              <w:ind w:firstLine="0" w:firstLineChars="0"/>
              <w:jc w:val="center"/>
              <w:rPr>
                <w:sz w:val="24"/>
                <w:szCs w:val="24"/>
              </w:rPr>
            </w:pPr>
            <w:r>
              <w:rPr>
                <w:rFonts w:hint="eastAsia"/>
                <w:sz w:val="24"/>
                <w:szCs w:val="24"/>
              </w:rPr>
              <w:t>10.36</w:t>
            </w:r>
          </w:p>
        </w:tc>
        <w:tc>
          <w:tcPr>
            <w:tcW w:w="1732" w:type="dxa"/>
            <w:vAlign w:val="center"/>
          </w:tcPr>
          <w:p>
            <w:pPr>
              <w:spacing w:line="400" w:lineRule="exact"/>
              <w:ind w:firstLine="0" w:firstLineChars="0"/>
              <w:rPr>
                <w:sz w:val="24"/>
                <w:szCs w:val="24"/>
              </w:rPr>
            </w:pPr>
            <w:r>
              <w:rPr>
                <w:rFonts w:hint="eastAsia"/>
                <w:sz w:val="24"/>
                <w:szCs w:val="24"/>
              </w:rPr>
              <w:t>W1、B1、B2、A1、A35</w:t>
            </w:r>
          </w:p>
        </w:tc>
        <w:tc>
          <w:tcPr>
            <w:tcW w:w="3025" w:type="dxa"/>
            <w:vAlign w:val="center"/>
          </w:tcPr>
          <w:p>
            <w:pPr>
              <w:spacing w:line="400" w:lineRule="exact"/>
              <w:ind w:firstLine="0" w:firstLineChars="0"/>
              <w:rPr>
                <w:sz w:val="24"/>
                <w:szCs w:val="24"/>
              </w:rPr>
            </w:pPr>
            <w:r>
              <w:rPr>
                <w:rFonts w:hint="eastAsia"/>
                <w:sz w:val="24"/>
                <w:szCs w:val="24"/>
              </w:rPr>
              <w:t>国际知名的保税仓储、国际快递、中转物流运营企业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1555" w:type="dxa"/>
            <w:vAlign w:val="center"/>
          </w:tcPr>
          <w:p>
            <w:pPr>
              <w:spacing w:line="400" w:lineRule="exact"/>
              <w:ind w:firstLine="0" w:firstLineChars="0"/>
              <w:rPr>
                <w:sz w:val="24"/>
                <w:szCs w:val="24"/>
              </w:rPr>
            </w:pPr>
            <w:r>
              <w:rPr>
                <w:rFonts w:hint="eastAsia"/>
                <w:sz w:val="24"/>
                <w:szCs w:val="24"/>
              </w:rPr>
              <w:t>空港物流区</w:t>
            </w:r>
          </w:p>
        </w:tc>
        <w:tc>
          <w:tcPr>
            <w:tcW w:w="1984" w:type="dxa"/>
            <w:vAlign w:val="center"/>
          </w:tcPr>
          <w:p>
            <w:pPr>
              <w:spacing w:line="400" w:lineRule="exact"/>
              <w:ind w:firstLine="0" w:firstLineChars="0"/>
              <w:jc w:val="center"/>
              <w:rPr>
                <w:sz w:val="24"/>
                <w:szCs w:val="24"/>
              </w:rPr>
            </w:pPr>
            <w:r>
              <w:rPr>
                <w:rFonts w:hint="eastAsia"/>
                <w:sz w:val="24"/>
                <w:szCs w:val="24"/>
              </w:rPr>
              <w:t>3.99</w:t>
            </w:r>
          </w:p>
        </w:tc>
        <w:tc>
          <w:tcPr>
            <w:tcW w:w="1732" w:type="dxa"/>
            <w:vAlign w:val="center"/>
          </w:tcPr>
          <w:p>
            <w:pPr>
              <w:spacing w:line="400" w:lineRule="exact"/>
              <w:ind w:firstLine="0" w:firstLineChars="0"/>
              <w:rPr>
                <w:sz w:val="24"/>
                <w:szCs w:val="24"/>
              </w:rPr>
            </w:pPr>
            <w:r>
              <w:rPr>
                <w:rFonts w:hint="eastAsia"/>
                <w:sz w:val="24"/>
                <w:szCs w:val="24"/>
              </w:rPr>
              <w:t>W1、M1、B1、B2、A1、A35</w:t>
            </w:r>
          </w:p>
        </w:tc>
        <w:tc>
          <w:tcPr>
            <w:tcW w:w="3025" w:type="dxa"/>
            <w:vAlign w:val="center"/>
          </w:tcPr>
          <w:p>
            <w:pPr>
              <w:spacing w:line="400" w:lineRule="exact"/>
              <w:ind w:firstLine="0" w:firstLineChars="0"/>
              <w:rPr>
                <w:sz w:val="24"/>
                <w:szCs w:val="24"/>
              </w:rPr>
            </w:pPr>
            <w:r>
              <w:rPr>
                <w:rFonts w:hint="eastAsia"/>
                <w:sz w:val="24"/>
                <w:szCs w:val="24"/>
              </w:rPr>
              <w:t>高附加值绿色无污染的加工制造业、高品质空港物流运营企业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555" w:type="dxa"/>
            <w:vAlign w:val="center"/>
          </w:tcPr>
          <w:p>
            <w:pPr>
              <w:spacing w:line="400" w:lineRule="exact"/>
              <w:ind w:firstLine="0" w:firstLineChars="0"/>
              <w:rPr>
                <w:sz w:val="24"/>
                <w:szCs w:val="24"/>
              </w:rPr>
            </w:pPr>
            <w:r>
              <w:rPr>
                <w:rFonts w:hint="eastAsia"/>
                <w:sz w:val="24"/>
                <w:szCs w:val="24"/>
              </w:rPr>
              <w:t>商贸物流区</w:t>
            </w:r>
          </w:p>
        </w:tc>
        <w:tc>
          <w:tcPr>
            <w:tcW w:w="1984" w:type="dxa"/>
            <w:vAlign w:val="center"/>
          </w:tcPr>
          <w:p>
            <w:pPr>
              <w:spacing w:line="400" w:lineRule="exact"/>
              <w:ind w:firstLine="0" w:firstLineChars="0"/>
              <w:jc w:val="center"/>
              <w:rPr>
                <w:sz w:val="24"/>
                <w:szCs w:val="24"/>
              </w:rPr>
            </w:pPr>
            <w:r>
              <w:rPr>
                <w:rFonts w:hint="eastAsia"/>
                <w:sz w:val="24"/>
                <w:szCs w:val="24"/>
              </w:rPr>
              <w:t>6.29</w:t>
            </w:r>
          </w:p>
        </w:tc>
        <w:tc>
          <w:tcPr>
            <w:tcW w:w="1732" w:type="dxa"/>
            <w:vAlign w:val="center"/>
          </w:tcPr>
          <w:p>
            <w:pPr>
              <w:spacing w:line="400" w:lineRule="exact"/>
              <w:ind w:firstLine="0" w:firstLineChars="0"/>
              <w:rPr>
                <w:sz w:val="24"/>
                <w:szCs w:val="24"/>
              </w:rPr>
            </w:pPr>
            <w:r>
              <w:rPr>
                <w:rFonts w:hint="eastAsia"/>
                <w:sz w:val="24"/>
                <w:szCs w:val="24"/>
              </w:rPr>
              <w:t>W1、B1、B2、A1、A35</w:t>
            </w:r>
          </w:p>
        </w:tc>
        <w:tc>
          <w:tcPr>
            <w:tcW w:w="3025" w:type="dxa"/>
            <w:vAlign w:val="center"/>
          </w:tcPr>
          <w:p>
            <w:pPr>
              <w:spacing w:line="400" w:lineRule="exact"/>
              <w:ind w:firstLine="0" w:firstLineChars="0"/>
              <w:rPr>
                <w:sz w:val="24"/>
                <w:szCs w:val="24"/>
              </w:rPr>
            </w:pPr>
            <w:r>
              <w:rPr>
                <w:rFonts w:hint="eastAsia"/>
                <w:sz w:val="24"/>
                <w:szCs w:val="24"/>
              </w:rPr>
              <w:t>高品质商品展销、冷链物流、城市配送运营企业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rPr>
        <w:tc>
          <w:tcPr>
            <w:tcW w:w="1555" w:type="dxa"/>
            <w:vAlign w:val="center"/>
          </w:tcPr>
          <w:p>
            <w:pPr>
              <w:spacing w:line="400" w:lineRule="exact"/>
              <w:ind w:firstLine="0" w:firstLineChars="0"/>
              <w:rPr>
                <w:sz w:val="24"/>
                <w:szCs w:val="24"/>
              </w:rPr>
            </w:pPr>
            <w:r>
              <w:rPr>
                <w:rFonts w:hint="eastAsia"/>
                <w:sz w:val="24"/>
                <w:szCs w:val="24"/>
              </w:rPr>
              <w:t>物流服务区</w:t>
            </w:r>
          </w:p>
        </w:tc>
        <w:tc>
          <w:tcPr>
            <w:tcW w:w="1984" w:type="dxa"/>
            <w:vAlign w:val="center"/>
          </w:tcPr>
          <w:p>
            <w:pPr>
              <w:spacing w:line="400" w:lineRule="exact"/>
              <w:ind w:firstLine="0" w:firstLineChars="0"/>
              <w:jc w:val="center"/>
              <w:rPr>
                <w:sz w:val="24"/>
                <w:szCs w:val="24"/>
              </w:rPr>
            </w:pPr>
            <w:r>
              <w:rPr>
                <w:rFonts w:hint="eastAsia"/>
                <w:sz w:val="24"/>
                <w:szCs w:val="24"/>
              </w:rPr>
              <w:t>3.78</w:t>
            </w:r>
          </w:p>
        </w:tc>
        <w:tc>
          <w:tcPr>
            <w:tcW w:w="1732" w:type="dxa"/>
            <w:vAlign w:val="center"/>
          </w:tcPr>
          <w:p>
            <w:pPr>
              <w:spacing w:line="400" w:lineRule="exact"/>
              <w:ind w:firstLine="0" w:firstLineChars="0"/>
              <w:rPr>
                <w:sz w:val="24"/>
                <w:szCs w:val="24"/>
              </w:rPr>
            </w:pPr>
            <w:r>
              <w:rPr>
                <w:rFonts w:hint="eastAsia"/>
                <w:sz w:val="24"/>
                <w:szCs w:val="24"/>
              </w:rPr>
              <w:t>B1、B2、A1、A35</w:t>
            </w:r>
          </w:p>
        </w:tc>
        <w:tc>
          <w:tcPr>
            <w:tcW w:w="3025" w:type="dxa"/>
            <w:vAlign w:val="center"/>
          </w:tcPr>
          <w:p>
            <w:pPr>
              <w:spacing w:line="400" w:lineRule="exact"/>
              <w:ind w:firstLine="0" w:firstLineChars="0"/>
              <w:rPr>
                <w:sz w:val="24"/>
                <w:szCs w:val="24"/>
              </w:rPr>
            </w:pPr>
            <w:r>
              <w:rPr>
                <w:rFonts w:hint="eastAsia"/>
                <w:sz w:val="24"/>
                <w:szCs w:val="24"/>
              </w:rPr>
              <w:t>知名物流管理与运营公司</w:t>
            </w:r>
          </w:p>
        </w:tc>
      </w:tr>
    </w:tbl>
    <w:p>
      <w:pPr>
        <w:ind w:firstLine="520" w:firstLineChars="162"/>
        <w:rPr>
          <w:b/>
          <w:bCs/>
        </w:rPr>
      </w:pPr>
      <w:r>
        <w:rPr>
          <w:b/>
          <w:bCs/>
        </w:rPr>
        <w:t>2</w:t>
      </w:r>
      <w:r>
        <w:rPr>
          <w:rFonts w:hint="eastAsia"/>
          <w:b/>
          <w:bCs/>
        </w:rPr>
        <w:t>、功能引导用地规划</w:t>
      </w:r>
    </w:p>
    <w:p>
      <w:pPr>
        <w:ind w:firstLine="640"/>
      </w:pPr>
      <w:r>
        <w:rPr>
          <w:rFonts w:hint="eastAsia"/>
        </w:rPr>
        <w:t>功能引导用地明确各地块的用地性质作为实施引导。规划园区物流仓储用地</w:t>
      </w:r>
      <w:r>
        <w:t>13.28</w:t>
      </w:r>
      <w:r>
        <w:rPr>
          <w:rFonts w:hint="eastAsia"/>
        </w:rPr>
        <w:t>公顷，工业用地</w:t>
      </w:r>
      <w:r>
        <w:t>8.76</w:t>
      </w:r>
      <w:r>
        <w:rPr>
          <w:rFonts w:hint="eastAsia"/>
        </w:rPr>
        <w:t>公顷，商业服务业设施</w:t>
      </w:r>
      <w:r>
        <w:t>用地10.27</w:t>
      </w:r>
      <w:r>
        <w:rPr>
          <w:rFonts w:hint="eastAsia"/>
        </w:rPr>
        <w:t>公顷,居住混合商业设施用地</w:t>
      </w:r>
      <w:r>
        <w:t>4.30</w:t>
      </w:r>
      <w:r>
        <w:rPr>
          <w:rFonts w:hint="eastAsia"/>
        </w:rPr>
        <w:t>公顷，公用</w:t>
      </w:r>
      <w:r>
        <w:t>设施用地</w:t>
      </w:r>
      <w:r>
        <w:rPr>
          <w:rFonts w:hint="eastAsia"/>
        </w:rPr>
        <w:t>1.</w:t>
      </w:r>
      <w:r>
        <w:t>08</w:t>
      </w:r>
      <w:r>
        <w:rPr>
          <w:rFonts w:hint="eastAsia"/>
        </w:rPr>
        <w:t>公顷</w:t>
      </w:r>
      <w:r>
        <w:t>，道路</w:t>
      </w:r>
      <w:r>
        <w:rPr>
          <w:rFonts w:hint="eastAsia"/>
        </w:rPr>
        <w:t>与</w:t>
      </w:r>
      <w:r>
        <w:t>交通设施用地12.12</w:t>
      </w:r>
      <w:r>
        <w:rPr>
          <w:rFonts w:hint="eastAsia"/>
        </w:rPr>
        <w:t>公顷</w:t>
      </w:r>
      <w:r>
        <w:t>，绿地与广场用地3.03</w:t>
      </w:r>
      <w:r>
        <w:rPr>
          <w:rFonts w:hint="eastAsia"/>
        </w:rPr>
        <w:t>公顷。</w:t>
      </w:r>
    </w:p>
    <w:p>
      <w:pPr>
        <w:tabs>
          <w:tab w:val="left" w:pos="1492"/>
        </w:tabs>
        <w:ind w:firstLine="643"/>
        <w:jc w:val="center"/>
        <w:rPr>
          <w:b/>
          <w:bCs/>
        </w:rPr>
      </w:pPr>
      <w:r>
        <w:rPr>
          <w:rFonts w:hint="eastAsia"/>
          <w:b/>
          <w:bCs/>
        </w:rPr>
        <w:t>功能引导用地汇总表</w:t>
      </w:r>
    </w:p>
    <w:tbl>
      <w:tblPr>
        <w:tblStyle w:val="6"/>
        <w:tblW w:w="8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40"/>
        <w:gridCol w:w="3140"/>
        <w:gridCol w:w="192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660" w:type="dxa"/>
            <w:vAlign w:val="center"/>
          </w:tcPr>
          <w:p>
            <w:pPr>
              <w:spacing w:line="400" w:lineRule="exact"/>
              <w:ind w:firstLine="0" w:firstLineChars="0"/>
              <w:jc w:val="center"/>
              <w:rPr>
                <w:b/>
                <w:bCs/>
                <w:sz w:val="24"/>
                <w:szCs w:val="24"/>
              </w:rPr>
            </w:pPr>
            <w:r>
              <w:rPr>
                <w:rFonts w:hint="eastAsia"/>
                <w:b/>
                <w:bCs/>
                <w:sz w:val="24"/>
                <w:szCs w:val="24"/>
              </w:rPr>
              <w:t>序号</w:t>
            </w:r>
          </w:p>
        </w:tc>
        <w:tc>
          <w:tcPr>
            <w:tcW w:w="1440" w:type="dxa"/>
            <w:vAlign w:val="center"/>
          </w:tcPr>
          <w:p>
            <w:pPr>
              <w:spacing w:line="400" w:lineRule="exact"/>
              <w:ind w:firstLine="0" w:firstLineChars="0"/>
              <w:jc w:val="center"/>
              <w:rPr>
                <w:b/>
                <w:bCs/>
                <w:sz w:val="24"/>
                <w:szCs w:val="24"/>
              </w:rPr>
            </w:pPr>
            <w:r>
              <w:rPr>
                <w:rFonts w:hint="eastAsia"/>
                <w:b/>
                <w:bCs/>
                <w:sz w:val="24"/>
                <w:szCs w:val="24"/>
              </w:rPr>
              <w:t>用地代码</w:t>
            </w:r>
          </w:p>
        </w:tc>
        <w:tc>
          <w:tcPr>
            <w:tcW w:w="3140" w:type="dxa"/>
            <w:vAlign w:val="center"/>
          </w:tcPr>
          <w:p>
            <w:pPr>
              <w:spacing w:line="400" w:lineRule="exact"/>
              <w:ind w:firstLine="0" w:firstLineChars="0"/>
              <w:jc w:val="center"/>
              <w:rPr>
                <w:b/>
                <w:bCs/>
                <w:sz w:val="24"/>
                <w:szCs w:val="24"/>
              </w:rPr>
            </w:pPr>
            <w:r>
              <w:rPr>
                <w:rFonts w:hint="eastAsia"/>
                <w:b/>
                <w:bCs/>
                <w:sz w:val="24"/>
                <w:szCs w:val="24"/>
              </w:rPr>
              <w:t>用地名称</w:t>
            </w:r>
          </w:p>
        </w:tc>
        <w:tc>
          <w:tcPr>
            <w:tcW w:w="1920" w:type="dxa"/>
            <w:vAlign w:val="center"/>
          </w:tcPr>
          <w:p>
            <w:pPr>
              <w:spacing w:line="400" w:lineRule="exact"/>
              <w:ind w:firstLine="0" w:firstLineChars="0"/>
              <w:jc w:val="center"/>
              <w:rPr>
                <w:b/>
                <w:bCs/>
                <w:sz w:val="24"/>
                <w:szCs w:val="24"/>
              </w:rPr>
            </w:pPr>
            <w:r>
              <w:rPr>
                <w:rFonts w:hint="eastAsia"/>
                <w:b/>
                <w:bCs/>
                <w:sz w:val="24"/>
                <w:szCs w:val="24"/>
              </w:rPr>
              <w:t>用地面积（公顷）</w:t>
            </w:r>
          </w:p>
        </w:tc>
        <w:tc>
          <w:tcPr>
            <w:tcW w:w="1280" w:type="dxa"/>
            <w:vAlign w:val="center"/>
          </w:tcPr>
          <w:p>
            <w:pPr>
              <w:spacing w:line="400" w:lineRule="exact"/>
              <w:ind w:firstLine="0" w:firstLineChars="0"/>
              <w:jc w:val="center"/>
              <w:rPr>
                <w:b/>
                <w:bCs/>
                <w:sz w:val="24"/>
                <w:szCs w:val="24"/>
              </w:rPr>
            </w:pPr>
            <w:r>
              <w:rPr>
                <w:rFonts w:hint="eastAsia"/>
                <w:b/>
                <w:bCs/>
                <w:sz w:val="24"/>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660" w:type="dxa"/>
            <w:vAlign w:val="center"/>
          </w:tcPr>
          <w:p>
            <w:pPr>
              <w:spacing w:line="400" w:lineRule="exact"/>
              <w:ind w:firstLine="0" w:firstLineChars="0"/>
              <w:jc w:val="center"/>
              <w:rPr>
                <w:sz w:val="24"/>
                <w:szCs w:val="24"/>
              </w:rPr>
            </w:pPr>
            <w:r>
              <w:rPr>
                <w:rFonts w:hint="eastAsia"/>
                <w:sz w:val="24"/>
                <w:szCs w:val="24"/>
              </w:rPr>
              <w:t>1</w:t>
            </w:r>
          </w:p>
        </w:tc>
        <w:tc>
          <w:tcPr>
            <w:tcW w:w="1440" w:type="dxa"/>
            <w:vAlign w:val="center"/>
          </w:tcPr>
          <w:p>
            <w:pPr>
              <w:spacing w:line="400" w:lineRule="exact"/>
              <w:ind w:firstLine="0" w:firstLineChars="0"/>
              <w:jc w:val="center"/>
              <w:rPr>
                <w:sz w:val="24"/>
                <w:szCs w:val="24"/>
              </w:rPr>
            </w:pPr>
            <w:r>
              <w:rPr>
                <w:rFonts w:hint="eastAsia"/>
                <w:sz w:val="24"/>
                <w:szCs w:val="24"/>
              </w:rPr>
              <w:t>W</w:t>
            </w:r>
          </w:p>
        </w:tc>
        <w:tc>
          <w:tcPr>
            <w:tcW w:w="3140" w:type="dxa"/>
            <w:vAlign w:val="center"/>
          </w:tcPr>
          <w:p>
            <w:pPr>
              <w:spacing w:line="400" w:lineRule="exact"/>
              <w:ind w:firstLine="0" w:firstLineChars="0"/>
              <w:jc w:val="center"/>
              <w:rPr>
                <w:sz w:val="24"/>
                <w:szCs w:val="24"/>
              </w:rPr>
            </w:pPr>
            <w:r>
              <w:rPr>
                <w:rFonts w:hint="eastAsia"/>
                <w:sz w:val="24"/>
                <w:szCs w:val="24"/>
              </w:rPr>
              <w:t>物流仓储用地</w:t>
            </w:r>
          </w:p>
        </w:tc>
        <w:tc>
          <w:tcPr>
            <w:tcW w:w="1920" w:type="dxa"/>
            <w:vAlign w:val="center"/>
          </w:tcPr>
          <w:p>
            <w:pPr>
              <w:spacing w:line="400" w:lineRule="exact"/>
              <w:ind w:firstLine="0" w:firstLineChars="0"/>
              <w:jc w:val="center"/>
              <w:rPr>
                <w:sz w:val="24"/>
                <w:szCs w:val="24"/>
              </w:rPr>
            </w:pPr>
            <w:r>
              <w:rPr>
                <w:sz w:val="24"/>
                <w:szCs w:val="24"/>
              </w:rPr>
              <w:t>13.28</w:t>
            </w:r>
          </w:p>
        </w:tc>
        <w:tc>
          <w:tcPr>
            <w:tcW w:w="1280" w:type="dxa"/>
            <w:vAlign w:val="center"/>
          </w:tcPr>
          <w:p>
            <w:pPr>
              <w:spacing w:line="400" w:lineRule="exact"/>
              <w:ind w:firstLine="0" w:firstLineChars="0"/>
              <w:jc w:val="center"/>
              <w:rPr>
                <w:sz w:val="24"/>
                <w:szCs w:val="24"/>
              </w:rPr>
            </w:pPr>
            <w:r>
              <w:rPr>
                <w:sz w:val="24"/>
                <w:szCs w:val="24"/>
              </w:rPr>
              <w:t>25.13%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660" w:type="dxa"/>
            <w:vAlign w:val="center"/>
          </w:tcPr>
          <w:p>
            <w:pPr>
              <w:spacing w:line="400" w:lineRule="exact"/>
              <w:ind w:firstLine="0" w:firstLineChars="0"/>
              <w:jc w:val="center"/>
              <w:rPr>
                <w:sz w:val="24"/>
                <w:szCs w:val="24"/>
              </w:rPr>
            </w:pPr>
            <w:r>
              <w:rPr>
                <w:rFonts w:hint="eastAsia"/>
                <w:sz w:val="24"/>
                <w:szCs w:val="24"/>
              </w:rPr>
              <w:t>2</w:t>
            </w:r>
          </w:p>
        </w:tc>
        <w:tc>
          <w:tcPr>
            <w:tcW w:w="1440" w:type="dxa"/>
            <w:vAlign w:val="center"/>
          </w:tcPr>
          <w:p>
            <w:pPr>
              <w:spacing w:line="400" w:lineRule="exact"/>
              <w:ind w:firstLine="0" w:firstLineChars="0"/>
              <w:jc w:val="center"/>
              <w:rPr>
                <w:sz w:val="24"/>
                <w:szCs w:val="24"/>
              </w:rPr>
            </w:pPr>
            <w:r>
              <w:rPr>
                <w:rFonts w:hint="eastAsia"/>
                <w:sz w:val="24"/>
                <w:szCs w:val="24"/>
              </w:rPr>
              <w:t>M</w:t>
            </w:r>
          </w:p>
        </w:tc>
        <w:tc>
          <w:tcPr>
            <w:tcW w:w="3140" w:type="dxa"/>
            <w:vAlign w:val="center"/>
          </w:tcPr>
          <w:p>
            <w:pPr>
              <w:spacing w:line="400" w:lineRule="exact"/>
              <w:ind w:firstLine="0" w:firstLineChars="0"/>
              <w:jc w:val="center"/>
              <w:rPr>
                <w:sz w:val="24"/>
                <w:szCs w:val="24"/>
              </w:rPr>
            </w:pPr>
            <w:r>
              <w:rPr>
                <w:rFonts w:hint="eastAsia"/>
                <w:sz w:val="24"/>
                <w:szCs w:val="24"/>
              </w:rPr>
              <w:t>工业用地</w:t>
            </w:r>
          </w:p>
        </w:tc>
        <w:tc>
          <w:tcPr>
            <w:tcW w:w="1920" w:type="dxa"/>
            <w:vAlign w:val="center"/>
          </w:tcPr>
          <w:p>
            <w:pPr>
              <w:spacing w:line="400" w:lineRule="exact"/>
              <w:ind w:firstLine="0" w:firstLineChars="0"/>
              <w:jc w:val="center"/>
              <w:rPr>
                <w:sz w:val="24"/>
                <w:szCs w:val="24"/>
              </w:rPr>
            </w:pPr>
            <w:r>
              <w:rPr>
                <w:sz w:val="24"/>
                <w:szCs w:val="24"/>
              </w:rPr>
              <w:t>8.76</w:t>
            </w:r>
          </w:p>
        </w:tc>
        <w:tc>
          <w:tcPr>
            <w:tcW w:w="1280" w:type="dxa"/>
            <w:vAlign w:val="center"/>
          </w:tcPr>
          <w:p>
            <w:pPr>
              <w:spacing w:line="400" w:lineRule="exact"/>
              <w:ind w:firstLine="0" w:firstLineChars="0"/>
              <w:jc w:val="center"/>
              <w:rPr>
                <w:sz w:val="24"/>
                <w:szCs w:val="24"/>
              </w:rPr>
            </w:pPr>
            <w:r>
              <w:rPr>
                <w:sz w:val="24"/>
                <w:szCs w:val="24"/>
              </w:rPr>
              <w:t>16.58%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660" w:type="dxa"/>
            <w:vMerge w:val="restart"/>
            <w:vAlign w:val="center"/>
          </w:tcPr>
          <w:p>
            <w:pPr>
              <w:spacing w:line="400" w:lineRule="exact"/>
              <w:ind w:firstLine="0" w:firstLineChars="0"/>
              <w:jc w:val="center"/>
              <w:rPr>
                <w:sz w:val="24"/>
                <w:szCs w:val="24"/>
              </w:rPr>
            </w:pPr>
            <w:r>
              <w:rPr>
                <w:rFonts w:hint="eastAsia"/>
                <w:sz w:val="24"/>
                <w:szCs w:val="24"/>
              </w:rPr>
              <w:t>3</w:t>
            </w:r>
          </w:p>
        </w:tc>
        <w:tc>
          <w:tcPr>
            <w:tcW w:w="1440" w:type="dxa"/>
            <w:vMerge w:val="restart"/>
            <w:vAlign w:val="center"/>
          </w:tcPr>
          <w:p>
            <w:pPr>
              <w:spacing w:line="400" w:lineRule="exact"/>
              <w:ind w:firstLine="0" w:firstLineChars="0"/>
              <w:jc w:val="center"/>
              <w:rPr>
                <w:sz w:val="24"/>
                <w:szCs w:val="24"/>
              </w:rPr>
            </w:pPr>
            <w:r>
              <w:rPr>
                <w:rFonts w:hint="eastAsia"/>
                <w:sz w:val="24"/>
                <w:szCs w:val="24"/>
              </w:rPr>
              <w:t>B</w:t>
            </w:r>
          </w:p>
        </w:tc>
        <w:tc>
          <w:tcPr>
            <w:tcW w:w="3140" w:type="dxa"/>
            <w:vAlign w:val="center"/>
          </w:tcPr>
          <w:p>
            <w:pPr>
              <w:spacing w:line="400" w:lineRule="exact"/>
              <w:ind w:firstLine="0" w:firstLineChars="0"/>
              <w:jc w:val="center"/>
              <w:rPr>
                <w:sz w:val="24"/>
                <w:szCs w:val="24"/>
              </w:rPr>
            </w:pPr>
            <w:r>
              <w:rPr>
                <w:rFonts w:hint="eastAsia"/>
                <w:sz w:val="24"/>
                <w:szCs w:val="24"/>
              </w:rPr>
              <w:t>商业设施用地</w:t>
            </w:r>
          </w:p>
        </w:tc>
        <w:tc>
          <w:tcPr>
            <w:tcW w:w="1920" w:type="dxa"/>
            <w:vAlign w:val="center"/>
          </w:tcPr>
          <w:p>
            <w:pPr>
              <w:spacing w:line="400" w:lineRule="exact"/>
              <w:ind w:firstLine="0" w:firstLineChars="0"/>
              <w:jc w:val="center"/>
              <w:rPr>
                <w:sz w:val="24"/>
                <w:szCs w:val="24"/>
              </w:rPr>
            </w:pPr>
            <w:r>
              <w:rPr>
                <w:sz w:val="24"/>
                <w:szCs w:val="24"/>
              </w:rPr>
              <w:t>8.50</w:t>
            </w:r>
          </w:p>
        </w:tc>
        <w:tc>
          <w:tcPr>
            <w:tcW w:w="1280" w:type="dxa"/>
            <w:vAlign w:val="center"/>
          </w:tcPr>
          <w:p>
            <w:pPr>
              <w:spacing w:line="400" w:lineRule="exact"/>
              <w:ind w:firstLine="0" w:firstLineChars="0"/>
              <w:jc w:val="center"/>
              <w:rPr>
                <w:sz w:val="24"/>
                <w:szCs w:val="24"/>
              </w:rPr>
            </w:pPr>
            <w:r>
              <w:rPr>
                <w:rFonts w:hint="eastAsia"/>
                <w:sz w:val="24"/>
                <w:szCs w:val="24"/>
              </w:rPr>
              <w:t>1</w:t>
            </w:r>
            <w:r>
              <w:rPr>
                <w:sz w:val="24"/>
                <w:szCs w:val="24"/>
              </w:rPr>
              <w:t>6.09</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660" w:type="dxa"/>
            <w:vMerge w:val="continue"/>
            <w:vAlign w:val="center"/>
          </w:tcPr>
          <w:p>
            <w:pPr>
              <w:spacing w:line="400" w:lineRule="exact"/>
              <w:ind w:firstLine="0" w:firstLineChars="0"/>
              <w:jc w:val="center"/>
              <w:rPr>
                <w:sz w:val="24"/>
                <w:szCs w:val="24"/>
              </w:rPr>
            </w:pPr>
          </w:p>
        </w:tc>
        <w:tc>
          <w:tcPr>
            <w:tcW w:w="1440" w:type="dxa"/>
            <w:vMerge w:val="continue"/>
            <w:vAlign w:val="center"/>
          </w:tcPr>
          <w:p>
            <w:pPr>
              <w:spacing w:line="400" w:lineRule="exact"/>
              <w:ind w:firstLine="0" w:firstLineChars="0"/>
              <w:jc w:val="center"/>
              <w:rPr>
                <w:sz w:val="24"/>
                <w:szCs w:val="24"/>
              </w:rPr>
            </w:pPr>
          </w:p>
        </w:tc>
        <w:tc>
          <w:tcPr>
            <w:tcW w:w="3140" w:type="dxa"/>
            <w:vAlign w:val="center"/>
          </w:tcPr>
          <w:p>
            <w:pPr>
              <w:spacing w:line="400" w:lineRule="exact"/>
              <w:ind w:firstLine="0" w:firstLineChars="0"/>
              <w:jc w:val="center"/>
              <w:rPr>
                <w:sz w:val="24"/>
                <w:szCs w:val="24"/>
              </w:rPr>
            </w:pPr>
            <w:r>
              <w:rPr>
                <w:rFonts w:hint="eastAsia"/>
                <w:sz w:val="24"/>
                <w:szCs w:val="24"/>
              </w:rPr>
              <w:t>商务设施用地</w:t>
            </w:r>
          </w:p>
        </w:tc>
        <w:tc>
          <w:tcPr>
            <w:tcW w:w="1920" w:type="dxa"/>
            <w:vAlign w:val="center"/>
          </w:tcPr>
          <w:p>
            <w:pPr>
              <w:spacing w:line="400" w:lineRule="exact"/>
              <w:ind w:firstLine="0" w:firstLineChars="0"/>
              <w:jc w:val="center"/>
              <w:rPr>
                <w:sz w:val="24"/>
                <w:szCs w:val="24"/>
              </w:rPr>
            </w:pPr>
            <w:r>
              <w:rPr>
                <w:sz w:val="24"/>
                <w:szCs w:val="24"/>
              </w:rPr>
              <w:t>1.57</w:t>
            </w:r>
          </w:p>
        </w:tc>
        <w:tc>
          <w:tcPr>
            <w:tcW w:w="1280" w:type="dxa"/>
            <w:vAlign w:val="center"/>
          </w:tcPr>
          <w:p>
            <w:pPr>
              <w:spacing w:line="400" w:lineRule="exact"/>
              <w:ind w:firstLine="0" w:firstLineChars="0"/>
              <w:jc w:val="center"/>
              <w:rPr>
                <w:sz w:val="24"/>
                <w:szCs w:val="24"/>
              </w:rPr>
            </w:pPr>
            <w:r>
              <w:rPr>
                <w:rFonts w:hint="eastAsia"/>
                <w:sz w:val="24"/>
                <w:szCs w:val="24"/>
              </w:rPr>
              <w:t>2</w:t>
            </w:r>
            <w:r>
              <w:rPr>
                <w:sz w:val="24"/>
                <w:szCs w:val="24"/>
              </w:rPr>
              <w:t>.97</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660" w:type="dxa"/>
            <w:vMerge w:val="continue"/>
            <w:vAlign w:val="center"/>
          </w:tcPr>
          <w:p>
            <w:pPr>
              <w:spacing w:line="400" w:lineRule="exact"/>
              <w:ind w:firstLine="0" w:firstLineChars="0"/>
              <w:jc w:val="center"/>
              <w:rPr>
                <w:sz w:val="24"/>
                <w:szCs w:val="24"/>
              </w:rPr>
            </w:pPr>
          </w:p>
        </w:tc>
        <w:tc>
          <w:tcPr>
            <w:tcW w:w="1440" w:type="dxa"/>
            <w:vMerge w:val="continue"/>
            <w:vAlign w:val="center"/>
          </w:tcPr>
          <w:p>
            <w:pPr>
              <w:spacing w:line="400" w:lineRule="exact"/>
              <w:ind w:firstLine="0" w:firstLineChars="0"/>
              <w:jc w:val="center"/>
              <w:rPr>
                <w:sz w:val="24"/>
                <w:szCs w:val="24"/>
              </w:rPr>
            </w:pPr>
          </w:p>
        </w:tc>
        <w:tc>
          <w:tcPr>
            <w:tcW w:w="3140" w:type="dxa"/>
            <w:vAlign w:val="center"/>
          </w:tcPr>
          <w:p>
            <w:pPr>
              <w:spacing w:line="400" w:lineRule="exact"/>
              <w:ind w:firstLine="0" w:firstLineChars="0"/>
              <w:jc w:val="center"/>
              <w:rPr>
                <w:sz w:val="24"/>
                <w:szCs w:val="24"/>
              </w:rPr>
            </w:pPr>
            <w:r>
              <w:rPr>
                <w:rFonts w:hint="eastAsia"/>
                <w:sz w:val="24"/>
                <w:szCs w:val="24"/>
              </w:rPr>
              <w:t>加油加气站用地</w:t>
            </w:r>
          </w:p>
        </w:tc>
        <w:tc>
          <w:tcPr>
            <w:tcW w:w="1920" w:type="dxa"/>
            <w:vAlign w:val="center"/>
          </w:tcPr>
          <w:p>
            <w:pPr>
              <w:spacing w:line="400" w:lineRule="exact"/>
              <w:ind w:firstLine="0" w:firstLineChars="0"/>
              <w:jc w:val="center"/>
              <w:rPr>
                <w:sz w:val="24"/>
                <w:szCs w:val="24"/>
              </w:rPr>
            </w:pPr>
            <w:r>
              <w:rPr>
                <w:sz w:val="24"/>
                <w:szCs w:val="24"/>
              </w:rPr>
              <w:t>0.20</w:t>
            </w:r>
          </w:p>
        </w:tc>
        <w:tc>
          <w:tcPr>
            <w:tcW w:w="1280" w:type="dxa"/>
            <w:vAlign w:val="center"/>
          </w:tcPr>
          <w:p>
            <w:pPr>
              <w:spacing w:line="400" w:lineRule="exact"/>
              <w:ind w:firstLine="0" w:firstLineChars="0"/>
              <w:jc w:val="center"/>
              <w:rPr>
                <w:sz w:val="24"/>
                <w:szCs w:val="24"/>
              </w:rPr>
            </w:pPr>
            <w:r>
              <w:rPr>
                <w:sz w:val="24"/>
                <w:szCs w:val="24"/>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660" w:type="dxa"/>
            <w:vAlign w:val="center"/>
          </w:tcPr>
          <w:p>
            <w:pPr>
              <w:spacing w:line="400" w:lineRule="exact"/>
              <w:ind w:firstLine="0" w:firstLineChars="0"/>
              <w:jc w:val="center"/>
              <w:rPr>
                <w:sz w:val="24"/>
                <w:szCs w:val="24"/>
              </w:rPr>
            </w:pPr>
            <w:r>
              <w:rPr>
                <w:rFonts w:hint="eastAsia"/>
                <w:sz w:val="24"/>
                <w:szCs w:val="24"/>
              </w:rPr>
              <w:t>4</w:t>
            </w:r>
          </w:p>
        </w:tc>
        <w:tc>
          <w:tcPr>
            <w:tcW w:w="1440" w:type="dxa"/>
            <w:vAlign w:val="center"/>
          </w:tcPr>
          <w:p>
            <w:pPr>
              <w:spacing w:line="400" w:lineRule="exact"/>
              <w:ind w:firstLine="0" w:firstLineChars="0"/>
              <w:jc w:val="center"/>
              <w:rPr>
                <w:sz w:val="24"/>
                <w:szCs w:val="24"/>
              </w:rPr>
            </w:pPr>
            <w:r>
              <w:rPr>
                <w:rFonts w:hint="eastAsia"/>
                <w:sz w:val="24"/>
                <w:szCs w:val="24"/>
              </w:rPr>
              <w:t>R2/B1</w:t>
            </w:r>
          </w:p>
        </w:tc>
        <w:tc>
          <w:tcPr>
            <w:tcW w:w="3140" w:type="dxa"/>
            <w:vAlign w:val="center"/>
          </w:tcPr>
          <w:p>
            <w:pPr>
              <w:spacing w:line="400" w:lineRule="exact"/>
              <w:ind w:firstLine="0" w:firstLineChars="0"/>
              <w:jc w:val="center"/>
              <w:rPr>
                <w:sz w:val="24"/>
                <w:szCs w:val="24"/>
              </w:rPr>
            </w:pPr>
            <w:r>
              <w:rPr>
                <w:rFonts w:hint="eastAsia"/>
                <w:sz w:val="24"/>
                <w:szCs w:val="24"/>
              </w:rPr>
              <w:t>二类居住混合商业设施用地</w:t>
            </w:r>
          </w:p>
        </w:tc>
        <w:tc>
          <w:tcPr>
            <w:tcW w:w="1920" w:type="dxa"/>
            <w:vAlign w:val="center"/>
          </w:tcPr>
          <w:p>
            <w:pPr>
              <w:spacing w:line="400" w:lineRule="exact"/>
              <w:ind w:firstLine="0" w:firstLineChars="0"/>
              <w:jc w:val="center"/>
              <w:rPr>
                <w:sz w:val="24"/>
                <w:szCs w:val="24"/>
              </w:rPr>
            </w:pPr>
            <w:r>
              <w:rPr>
                <w:sz w:val="24"/>
                <w:szCs w:val="24"/>
              </w:rPr>
              <w:t>4.30</w:t>
            </w:r>
          </w:p>
        </w:tc>
        <w:tc>
          <w:tcPr>
            <w:tcW w:w="1280" w:type="dxa"/>
            <w:vAlign w:val="center"/>
          </w:tcPr>
          <w:p>
            <w:pPr>
              <w:spacing w:line="400" w:lineRule="exact"/>
              <w:ind w:firstLine="0" w:firstLineChars="0"/>
              <w:jc w:val="center"/>
              <w:rPr>
                <w:sz w:val="24"/>
                <w:szCs w:val="24"/>
              </w:rPr>
            </w:pPr>
            <w:r>
              <w:rPr>
                <w:sz w:val="24"/>
                <w:szCs w:val="24"/>
              </w:rPr>
              <w:t>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660" w:type="dxa"/>
            <w:vAlign w:val="center"/>
          </w:tcPr>
          <w:p>
            <w:pPr>
              <w:spacing w:line="400" w:lineRule="exact"/>
              <w:ind w:firstLine="0" w:firstLineChars="0"/>
              <w:jc w:val="center"/>
              <w:rPr>
                <w:sz w:val="24"/>
                <w:szCs w:val="24"/>
              </w:rPr>
            </w:pPr>
            <w:r>
              <w:rPr>
                <w:rFonts w:hint="eastAsia"/>
                <w:sz w:val="24"/>
                <w:szCs w:val="24"/>
              </w:rPr>
              <w:t>5</w:t>
            </w:r>
          </w:p>
        </w:tc>
        <w:tc>
          <w:tcPr>
            <w:tcW w:w="1440" w:type="dxa"/>
            <w:vAlign w:val="center"/>
          </w:tcPr>
          <w:p>
            <w:pPr>
              <w:spacing w:line="400" w:lineRule="exact"/>
              <w:ind w:firstLine="0" w:firstLineChars="0"/>
              <w:jc w:val="center"/>
              <w:rPr>
                <w:sz w:val="24"/>
                <w:szCs w:val="24"/>
              </w:rPr>
            </w:pPr>
            <w:r>
              <w:rPr>
                <w:rFonts w:hint="eastAsia"/>
                <w:sz w:val="24"/>
                <w:szCs w:val="24"/>
              </w:rPr>
              <w:t>S</w:t>
            </w:r>
          </w:p>
        </w:tc>
        <w:tc>
          <w:tcPr>
            <w:tcW w:w="3140" w:type="dxa"/>
            <w:vAlign w:val="center"/>
          </w:tcPr>
          <w:p>
            <w:pPr>
              <w:spacing w:line="400" w:lineRule="exact"/>
              <w:ind w:firstLine="0" w:firstLineChars="0"/>
              <w:jc w:val="center"/>
              <w:rPr>
                <w:sz w:val="24"/>
                <w:szCs w:val="24"/>
              </w:rPr>
            </w:pPr>
            <w:r>
              <w:rPr>
                <w:rFonts w:hint="eastAsia"/>
                <w:sz w:val="24"/>
                <w:szCs w:val="24"/>
              </w:rPr>
              <w:t>道路与交通设施用地</w:t>
            </w:r>
          </w:p>
        </w:tc>
        <w:tc>
          <w:tcPr>
            <w:tcW w:w="1920" w:type="dxa"/>
            <w:vAlign w:val="center"/>
          </w:tcPr>
          <w:p>
            <w:pPr>
              <w:spacing w:line="400" w:lineRule="exact"/>
              <w:ind w:firstLine="0" w:firstLineChars="0"/>
              <w:jc w:val="center"/>
              <w:rPr>
                <w:sz w:val="24"/>
                <w:szCs w:val="24"/>
              </w:rPr>
            </w:pPr>
            <w:r>
              <w:rPr>
                <w:sz w:val="24"/>
                <w:szCs w:val="24"/>
              </w:rPr>
              <w:t>12.12</w:t>
            </w:r>
          </w:p>
        </w:tc>
        <w:tc>
          <w:tcPr>
            <w:tcW w:w="1280" w:type="dxa"/>
            <w:vAlign w:val="center"/>
          </w:tcPr>
          <w:p>
            <w:pPr>
              <w:spacing w:line="400" w:lineRule="exact"/>
              <w:ind w:firstLine="0" w:firstLineChars="0"/>
              <w:jc w:val="center"/>
              <w:rPr>
                <w:sz w:val="24"/>
                <w:szCs w:val="24"/>
              </w:rPr>
            </w:pPr>
            <w:r>
              <w:rPr>
                <w:sz w:val="24"/>
                <w:szCs w:val="24"/>
              </w:rPr>
              <w:t>22.94%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660" w:type="dxa"/>
            <w:vAlign w:val="center"/>
          </w:tcPr>
          <w:p>
            <w:pPr>
              <w:spacing w:line="400" w:lineRule="exact"/>
              <w:ind w:firstLine="0" w:firstLineChars="0"/>
              <w:jc w:val="center"/>
              <w:rPr>
                <w:sz w:val="24"/>
                <w:szCs w:val="24"/>
              </w:rPr>
            </w:pPr>
            <w:r>
              <w:rPr>
                <w:rFonts w:hint="eastAsia"/>
                <w:sz w:val="24"/>
                <w:szCs w:val="24"/>
              </w:rPr>
              <w:t>6</w:t>
            </w:r>
          </w:p>
        </w:tc>
        <w:tc>
          <w:tcPr>
            <w:tcW w:w="1440" w:type="dxa"/>
            <w:vAlign w:val="center"/>
          </w:tcPr>
          <w:p>
            <w:pPr>
              <w:spacing w:line="400" w:lineRule="exact"/>
              <w:ind w:firstLine="0" w:firstLineChars="0"/>
              <w:jc w:val="center"/>
              <w:rPr>
                <w:sz w:val="24"/>
                <w:szCs w:val="24"/>
              </w:rPr>
            </w:pPr>
            <w:r>
              <w:rPr>
                <w:rFonts w:hint="eastAsia"/>
                <w:sz w:val="24"/>
                <w:szCs w:val="24"/>
              </w:rPr>
              <w:t>U</w:t>
            </w:r>
          </w:p>
        </w:tc>
        <w:tc>
          <w:tcPr>
            <w:tcW w:w="3140" w:type="dxa"/>
            <w:vAlign w:val="center"/>
          </w:tcPr>
          <w:p>
            <w:pPr>
              <w:spacing w:line="400" w:lineRule="exact"/>
              <w:ind w:firstLine="0" w:firstLineChars="0"/>
              <w:jc w:val="center"/>
              <w:rPr>
                <w:sz w:val="24"/>
                <w:szCs w:val="24"/>
              </w:rPr>
            </w:pPr>
            <w:r>
              <w:rPr>
                <w:rFonts w:hint="eastAsia"/>
                <w:sz w:val="24"/>
                <w:szCs w:val="24"/>
              </w:rPr>
              <w:t>公用设施用地</w:t>
            </w:r>
          </w:p>
        </w:tc>
        <w:tc>
          <w:tcPr>
            <w:tcW w:w="1920" w:type="dxa"/>
            <w:vAlign w:val="center"/>
          </w:tcPr>
          <w:p>
            <w:pPr>
              <w:spacing w:line="400" w:lineRule="exact"/>
              <w:ind w:firstLine="0" w:firstLineChars="0"/>
              <w:jc w:val="center"/>
              <w:rPr>
                <w:sz w:val="24"/>
                <w:szCs w:val="24"/>
              </w:rPr>
            </w:pPr>
            <w:r>
              <w:rPr>
                <w:sz w:val="24"/>
                <w:szCs w:val="24"/>
              </w:rPr>
              <w:t>1.08</w:t>
            </w:r>
          </w:p>
        </w:tc>
        <w:tc>
          <w:tcPr>
            <w:tcW w:w="1280" w:type="dxa"/>
            <w:vAlign w:val="center"/>
          </w:tcPr>
          <w:p>
            <w:pPr>
              <w:spacing w:line="400" w:lineRule="exact"/>
              <w:ind w:firstLine="0" w:firstLineChars="0"/>
              <w:jc w:val="center"/>
              <w:rPr>
                <w:sz w:val="24"/>
                <w:szCs w:val="24"/>
              </w:rPr>
            </w:pPr>
            <w:r>
              <w:rPr>
                <w:sz w:val="24"/>
                <w:szCs w:val="24"/>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660" w:type="dxa"/>
            <w:vAlign w:val="center"/>
          </w:tcPr>
          <w:p>
            <w:pPr>
              <w:spacing w:line="400" w:lineRule="exact"/>
              <w:ind w:firstLine="0" w:firstLineChars="0"/>
              <w:jc w:val="center"/>
              <w:rPr>
                <w:sz w:val="24"/>
                <w:szCs w:val="24"/>
              </w:rPr>
            </w:pPr>
            <w:r>
              <w:rPr>
                <w:rFonts w:hint="eastAsia"/>
                <w:sz w:val="24"/>
                <w:szCs w:val="24"/>
              </w:rPr>
              <w:t>7</w:t>
            </w:r>
          </w:p>
        </w:tc>
        <w:tc>
          <w:tcPr>
            <w:tcW w:w="1440" w:type="dxa"/>
            <w:vAlign w:val="center"/>
          </w:tcPr>
          <w:p>
            <w:pPr>
              <w:spacing w:line="400" w:lineRule="exact"/>
              <w:ind w:firstLine="0" w:firstLineChars="0"/>
              <w:jc w:val="center"/>
              <w:rPr>
                <w:sz w:val="24"/>
                <w:szCs w:val="24"/>
              </w:rPr>
            </w:pPr>
            <w:r>
              <w:rPr>
                <w:rFonts w:hint="eastAsia"/>
                <w:sz w:val="24"/>
                <w:szCs w:val="24"/>
              </w:rPr>
              <w:t>G</w:t>
            </w:r>
          </w:p>
        </w:tc>
        <w:tc>
          <w:tcPr>
            <w:tcW w:w="3140" w:type="dxa"/>
            <w:vAlign w:val="center"/>
          </w:tcPr>
          <w:p>
            <w:pPr>
              <w:spacing w:line="400" w:lineRule="exact"/>
              <w:ind w:firstLine="0" w:firstLineChars="0"/>
              <w:jc w:val="center"/>
              <w:rPr>
                <w:sz w:val="24"/>
                <w:szCs w:val="24"/>
              </w:rPr>
            </w:pPr>
            <w:r>
              <w:rPr>
                <w:rFonts w:hint="eastAsia"/>
                <w:sz w:val="24"/>
                <w:szCs w:val="24"/>
              </w:rPr>
              <w:t>绿地与广场用地</w:t>
            </w:r>
          </w:p>
        </w:tc>
        <w:tc>
          <w:tcPr>
            <w:tcW w:w="1920" w:type="dxa"/>
            <w:vAlign w:val="center"/>
          </w:tcPr>
          <w:p>
            <w:pPr>
              <w:spacing w:line="400" w:lineRule="exact"/>
              <w:ind w:firstLine="0" w:firstLineChars="0"/>
              <w:jc w:val="center"/>
              <w:rPr>
                <w:sz w:val="24"/>
                <w:szCs w:val="24"/>
              </w:rPr>
            </w:pPr>
            <w:r>
              <w:rPr>
                <w:sz w:val="24"/>
                <w:szCs w:val="24"/>
              </w:rPr>
              <w:t>3.03</w:t>
            </w:r>
          </w:p>
        </w:tc>
        <w:tc>
          <w:tcPr>
            <w:tcW w:w="1280" w:type="dxa"/>
            <w:vAlign w:val="center"/>
          </w:tcPr>
          <w:p>
            <w:pPr>
              <w:spacing w:line="400" w:lineRule="exact"/>
              <w:ind w:firstLine="0" w:firstLineChars="0"/>
              <w:jc w:val="center"/>
              <w:rPr>
                <w:sz w:val="24"/>
                <w:szCs w:val="24"/>
              </w:rPr>
            </w:pPr>
            <w:r>
              <w:rPr>
                <w:sz w:val="24"/>
                <w:szCs w:val="24"/>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660" w:type="dxa"/>
            <w:vAlign w:val="center"/>
          </w:tcPr>
          <w:p>
            <w:pPr>
              <w:spacing w:line="400" w:lineRule="exact"/>
              <w:ind w:firstLine="0" w:firstLineChars="0"/>
              <w:jc w:val="center"/>
              <w:rPr>
                <w:sz w:val="24"/>
                <w:szCs w:val="24"/>
              </w:rPr>
            </w:pPr>
            <w:r>
              <w:rPr>
                <w:rFonts w:hint="eastAsia"/>
                <w:sz w:val="24"/>
                <w:szCs w:val="24"/>
              </w:rPr>
              <w:t>8</w:t>
            </w:r>
          </w:p>
        </w:tc>
        <w:tc>
          <w:tcPr>
            <w:tcW w:w="4580" w:type="dxa"/>
            <w:gridSpan w:val="2"/>
            <w:vAlign w:val="center"/>
          </w:tcPr>
          <w:p>
            <w:pPr>
              <w:spacing w:line="400" w:lineRule="exact"/>
              <w:ind w:firstLine="0" w:firstLineChars="0"/>
              <w:jc w:val="center"/>
              <w:rPr>
                <w:sz w:val="24"/>
                <w:szCs w:val="24"/>
              </w:rPr>
            </w:pPr>
            <w:r>
              <w:rPr>
                <w:rFonts w:hint="eastAsia"/>
                <w:sz w:val="24"/>
                <w:szCs w:val="24"/>
              </w:rPr>
              <w:t>城市建设用地（H11）合计</w:t>
            </w:r>
          </w:p>
        </w:tc>
        <w:tc>
          <w:tcPr>
            <w:tcW w:w="1920" w:type="dxa"/>
            <w:vAlign w:val="center"/>
          </w:tcPr>
          <w:p>
            <w:pPr>
              <w:spacing w:line="400" w:lineRule="exact"/>
              <w:ind w:firstLine="0" w:firstLineChars="0"/>
              <w:jc w:val="center"/>
              <w:rPr>
                <w:sz w:val="24"/>
                <w:szCs w:val="24"/>
              </w:rPr>
            </w:pPr>
            <w:r>
              <w:rPr>
                <w:sz w:val="24"/>
                <w:szCs w:val="24"/>
              </w:rPr>
              <w:t>52.84</w:t>
            </w:r>
          </w:p>
        </w:tc>
        <w:tc>
          <w:tcPr>
            <w:tcW w:w="1280" w:type="dxa"/>
            <w:vAlign w:val="center"/>
          </w:tcPr>
          <w:p>
            <w:pPr>
              <w:spacing w:line="400" w:lineRule="exact"/>
              <w:ind w:firstLine="0" w:firstLineChars="0"/>
              <w:jc w:val="center"/>
              <w:rPr>
                <w:sz w:val="24"/>
                <w:szCs w:val="24"/>
              </w:rPr>
            </w:pPr>
            <w:r>
              <w:rPr>
                <w:sz w:val="24"/>
                <w:szCs w:val="24"/>
              </w:rPr>
              <w:t>100.00%</w:t>
            </w:r>
          </w:p>
        </w:tc>
      </w:tr>
    </w:tbl>
    <w:p>
      <w:pPr>
        <w:spacing w:line="400" w:lineRule="exact"/>
        <w:ind w:firstLine="0" w:firstLineChars="0"/>
        <w:jc w:val="center"/>
        <w:rPr>
          <w:sz w:val="24"/>
          <w:szCs w:val="24"/>
        </w:rPr>
      </w:pPr>
    </w:p>
    <w:p>
      <w:pPr>
        <w:pStyle w:val="9"/>
        <w:numPr>
          <w:ilvl w:val="0"/>
          <w:numId w:val="2"/>
        </w:numPr>
        <w:ind w:firstLineChars="0"/>
        <w:rPr>
          <w:b/>
          <w:bCs/>
        </w:rPr>
      </w:pPr>
      <w:r>
        <w:rPr>
          <w:rFonts w:hint="eastAsia"/>
          <w:b/>
          <w:bCs/>
        </w:rPr>
        <w:t>开发建设管控</w:t>
      </w:r>
    </w:p>
    <w:p>
      <w:pPr>
        <w:ind w:firstLine="420" w:firstLineChars="0"/>
        <w:rPr>
          <w:b/>
          <w:bCs/>
        </w:rPr>
      </w:pPr>
      <w:r>
        <w:rPr>
          <w:rFonts w:hint="eastAsia"/>
          <w:b/>
          <w:bCs/>
        </w:rPr>
        <w:t>1、开发强度控制</w:t>
      </w:r>
    </w:p>
    <w:p>
      <w:pPr>
        <w:ind w:firstLine="640"/>
      </w:pPr>
      <w:r>
        <w:rPr>
          <w:rFonts w:hint="eastAsia"/>
        </w:rPr>
        <w:t>规划范围内设定三类开发强度分区，分别为低强度控制区（容积率≤1.0）、中强度控制区（容积率≤2.</w:t>
      </w:r>
      <w:r>
        <w:t>0</w:t>
      </w:r>
      <w:r>
        <w:rPr>
          <w:rFonts w:hint="eastAsia"/>
        </w:rPr>
        <w:t>）、中高强度控制区（容积率≤2</w:t>
      </w:r>
      <w:r>
        <w:t>.5</w:t>
      </w:r>
      <w:r>
        <w:rPr>
          <w:rFonts w:hint="eastAsia"/>
        </w:rPr>
        <w:t>）。</w:t>
      </w:r>
    </w:p>
    <w:p>
      <w:pPr>
        <w:ind w:firstLine="640"/>
      </w:pPr>
      <w:r>
        <w:rPr>
          <w:rFonts w:hint="eastAsia"/>
        </w:rPr>
        <w:t>低强度控制区（容积率≤1.0）：包括容积率上限为</w:t>
      </w:r>
      <w:bookmarkStart w:id="0" w:name="DFar1LJ"/>
      <w:r>
        <w:t>0.5、0.7</w:t>
      </w:r>
      <w:bookmarkEnd w:id="0"/>
      <w:r>
        <w:rPr>
          <w:rFonts w:hint="eastAsia"/>
        </w:rPr>
        <w:t>的地块共2档，主要为市政</w:t>
      </w:r>
      <w:r>
        <w:t>基础设施</w:t>
      </w:r>
      <w:r>
        <w:rPr>
          <w:rFonts w:hint="eastAsia"/>
        </w:rPr>
        <w:t>用地、加油加气站用地。</w:t>
      </w:r>
    </w:p>
    <w:p>
      <w:pPr>
        <w:ind w:firstLine="640"/>
      </w:pPr>
      <w:r>
        <w:rPr>
          <w:rFonts w:hint="eastAsia"/>
        </w:rPr>
        <w:t>中强度控制区（容积率≤2.</w:t>
      </w:r>
      <w:r>
        <w:t>0</w:t>
      </w:r>
      <w:r>
        <w:rPr>
          <w:rFonts w:hint="eastAsia"/>
        </w:rPr>
        <w:t>）：主要</w:t>
      </w:r>
      <w:r>
        <w:t>为物流仓储</w:t>
      </w:r>
      <w:r>
        <w:rPr>
          <w:rFonts w:hint="eastAsia"/>
        </w:rPr>
        <w:t>用地、</w:t>
      </w:r>
      <w:r>
        <w:t>工业用地</w:t>
      </w:r>
      <w:r>
        <w:rPr>
          <w:rFonts w:hint="eastAsia"/>
        </w:rPr>
        <w:t>、</w:t>
      </w:r>
      <w:r>
        <w:t>商业</w:t>
      </w:r>
      <w:r>
        <w:rPr>
          <w:rFonts w:hint="eastAsia"/>
        </w:rPr>
        <w:t>设施用地、居住混合商业设施</w:t>
      </w:r>
      <w:r>
        <w:t>用地</w:t>
      </w:r>
      <w:r>
        <w:rPr>
          <w:rFonts w:hint="eastAsia"/>
        </w:rPr>
        <w:t>。</w:t>
      </w:r>
    </w:p>
    <w:p>
      <w:pPr>
        <w:ind w:firstLine="640"/>
      </w:pPr>
      <w:r>
        <w:rPr>
          <w:rFonts w:hint="eastAsia"/>
        </w:rPr>
        <w:t>中高强度控制区（容积率≤2</w:t>
      </w:r>
      <w:r>
        <w:t>.5</w:t>
      </w:r>
      <w:r>
        <w:rPr>
          <w:rFonts w:hint="eastAsia"/>
        </w:rPr>
        <w:t>）：主要为商务设施用地。</w:t>
      </w:r>
    </w:p>
    <w:p>
      <w:pPr>
        <w:ind w:firstLine="420" w:firstLineChars="0"/>
        <w:rPr>
          <w:b/>
          <w:bCs/>
        </w:rPr>
      </w:pPr>
      <w:r>
        <w:rPr>
          <w:rFonts w:hint="eastAsia"/>
          <w:b/>
          <w:bCs/>
        </w:rPr>
        <w:t>2、建筑高度控制</w:t>
      </w:r>
    </w:p>
    <w:p>
      <w:pPr>
        <w:ind w:firstLine="640"/>
      </w:pPr>
      <w:r>
        <w:rPr>
          <w:rFonts w:hint="eastAsia"/>
        </w:rPr>
        <w:t>规划范围内设定四类建筑高度分区，分别是低层及多层控制区（高度≤</w:t>
      </w:r>
      <w:r>
        <w:t>20</w:t>
      </w:r>
      <w:r>
        <w:rPr>
          <w:rFonts w:hint="eastAsia"/>
        </w:rPr>
        <w:t>米）、多层及中高层控制区（高度≤</w:t>
      </w:r>
      <w:r>
        <w:t>30</w:t>
      </w:r>
      <w:r>
        <w:rPr>
          <w:rFonts w:hint="eastAsia"/>
        </w:rPr>
        <w:t>米）、中高层控制区（高度≤</w:t>
      </w:r>
      <w:r>
        <w:t>45</w:t>
      </w:r>
      <w:r>
        <w:rPr>
          <w:rFonts w:hint="eastAsia"/>
        </w:rPr>
        <w:t>米）、高层控制区（高度≤</w:t>
      </w:r>
      <w:r>
        <w:t>6</w:t>
      </w:r>
      <w:r>
        <w:rPr>
          <w:rFonts w:hint="eastAsia"/>
        </w:rPr>
        <w:t>0米）。受凤凰机场净空限制，规划范围内建筑高度应低于海拔高度67.6米。</w:t>
      </w:r>
    </w:p>
    <w:p>
      <w:pPr>
        <w:ind w:firstLine="640" w:firstLineChars="0"/>
      </w:pPr>
      <w:r>
        <w:rPr>
          <w:rFonts w:hint="eastAsia"/>
        </w:rPr>
        <w:t>低层及多层控制区（高度≤</w:t>
      </w:r>
      <w:r>
        <w:t>20</w:t>
      </w:r>
      <w:r>
        <w:rPr>
          <w:rFonts w:hint="eastAsia"/>
        </w:rPr>
        <w:t>米）：包括建筑高度上限为1</w:t>
      </w:r>
      <w:r>
        <w:t>0</w:t>
      </w:r>
      <w:r>
        <w:rPr>
          <w:rFonts w:hint="eastAsia"/>
        </w:rPr>
        <w:t>米、1</w:t>
      </w:r>
      <w:r>
        <w:t>5</w:t>
      </w:r>
      <w:r>
        <w:rPr>
          <w:rFonts w:hint="eastAsia"/>
        </w:rPr>
        <w:t>米、2</w:t>
      </w:r>
      <w:r>
        <w:t>0</w:t>
      </w:r>
      <w:r>
        <w:rPr>
          <w:rFonts w:hint="eastAsia"/>
        </w:rPr>
        <w:t>米的地块共3档，主要为市政基础设施用地、加油加气站用地。</w:t>
      </w:r>
    </w:p>
    <w:p>
      <w:pPr>
        <w:ind w:firstLine="640" w:firstLineChars="0"/>
      </w:pPr>
      <w:r>
        <w:rPr>
          <w:rFonts w:hint="eastAsia"/>
        </w:rPr>
        <w:t>多层及中高层控制区（高度≤</w:t>
      </w:r>
      <w:r>
        <w:t>30</w:t>
      </w:r>
      <w:r>
        <w:rPr>
          <w:rFonts w:hint="eastAsia"/>
        </w:rPr>
        <w:t>米）：主要为物流</w:t>
      </w:r>
      <w:r>
        <w:t>仓储</w:t>
      </w:r>
      <w:r>
        <w:rPr>
          <w:rFonts w:hint="eastAsia"/>
        </w:rPr>
        <w:t>用地</w:t>
      </w:r>
      <w:r>
        <w:t>、工业</w:t>
      </w:r>
      <w:r>
        <w:rPr>
          <w:rFonts w:hint="eastAsia"/>
        </w:rPr>
        <w:t>用地、商业设施用地。</w:t>
      </w:r>
    </w:p>
    <w:p>
      <w:pPr>
        <w:ind w:firstLine="640"/>
      </w:pPr>
      <w:r>
        <w:rPr>
          <w:rFonts w:hint="eastAsia"/>
        </w:rPr>
        <w:t>中高层控制区（高度≤</w:t>
      </w:r>
      <w:r>
        <w:t>45</w:t>
      </w:r>
      <w:r>
        <w:rPr>
          <w:rFonts w:hint="eastAsia"/>
        </w:rPr>
        <w:t>米）：主要为商业设施用地、居住混合商业设施用地。根据</w:t>
      </w:r>
      <w:r>
        <w:t>三亚凤凰机场净空要求，限高</w:t>
      </w:r>
      <w:r>
        <w:rPr>
          <w:rFonts w:hint="eastAsia"/>
        </w:rPr>
        <w:t>45米建筑</w:t>
      </w:r>
      <w:r>
        <w:t>必须</w:t>
      </w:r>
      <w:r>
        <w:rPr>
          <w:rFonts w:hint="eastAsia"/>
        </w:rPr>
        <w:t>同时</w:t>
      </w:r>
      <w:r>
        <w:t>满足低于海拔高度</w:t>
      </w:r>
      <w:r>
        <w:rPr>
          <w:rFonts w:hint="eastAsia"/>
        </w:rPr>
        <w:t>67.6米。</w:t>
      </w:r>
    </w:p>
    <w:p>
      <w:pPr>
        <w:ind w:firstLine="640"/>
      </w:pPr>
      <w:r>
        <w:rPr>
          <w:rFonts w:hint="eastAsia"/>
        </w:rPr>
        <w:t>高层控制区（高度≤</w:t>
      </w:r>
      <w:r>
        <w:t>6</w:t>
      </w:r>
      <w:r>
        <w:rPr>
          <w:rFonts w:hint="eastAsia"/>
        </w:rPr>
        <w:t>0米）：主要为商务设施用地。根据</w:t>
      </w:r>
      <w:r>
        <w:t>三亚凤凰机场净空要求，限高60</w:t>
      </w:r>
      <w:r>
        <w:rPr>
          <w:rFonts w:hint="eastAsia"/>
        </w:rPr>
        <w:t>米建筑</w:t>
      </w:r>
      <w:r>
        <w:t>必须</w:t>
      </w:r>
      <w:r>
        <w:rPr>
          <w:rFonts w:hint="eastAsia"/>
        </w:rPr>
        <w:t>同时</w:t>
      </w:r>
      <w:r>
        <w:t>满足低于海拔高度</w:t>
      </w:r>
      <w:r>
        <w:rPr>
          <w:rFonts w:hint="eastAsia"/>
        </w:rPr>
        <w:t>67.6米。</w:t>
      </w:r>
    </w:p>
    <w:p>
      <w:pPr>
        <w:pStyle w:val="9"/>
        <w:numPr>
          <w:ilvl w:val="0"/>
          <w:numId w:val="2"/>
        </w:numPr>
        <w:ind w:firstLineChars="0"/>
        <w:rPr>
          <w:b/>
          <w:bCs/>
        </w:rPr>
      </w:pPr>
      <w:r>
        <w:rPr>
          <w:rFonts w:hint="eastAsia"/>
          <w:b/>
          <w:bCs/>
        </w:rPr>
        <w:t>道路与交通设施控制</w:t>
      </w:r>
    </w:p>
    <w:p>
      <w:pPr>
        <w:ind w:firstLineChars="0"/>
        <w:rPr>
          <w:b/>
          <w:bCs/>
        </w:rPr>
      </w:pPr>
      <w:r>
        <w:rPr>
          <w:rFonts w:hint="eastAsia"/>
          <w:b/>
          <w:bCs/>
        </w:rPr>
        <w:t>1</w:t>
      </w:r>
      <w:r>
        <w:rPr>
          <w:b/>
          <w:bCs/>
        </w:rPr>
        <w:t xml:space="preserve"> </w:t>
      </w:r>
      <w:r>
        <w:rPr>
          <w:rFonts w:hint="eastAsia"/>
          <w:b/>
          <w:bCs/>
        </w:rPr>
        <w:t>对外交通</w:t>
      </w:r>
    </w:p>
    <w:p>
      <w:pPr>
        <w:ind w:firstLine="640"/>
      </w:pPr>
      <w:r>
        <w:rPr>
          <w:rFonts w:hint="eastAsia"/>
        </w:rPr>
        <w:t>园区交通区位条件良好，距离凤凰机场约3平方公里，距离机场高铁站约2</w:t>
      </w:r>
      <w:r>
        <w:t>.5</w:t>
      </w:r>
      <w:r>
        <w:rPr>
          <w:rFonts w:hint="eastAsia"/>
        </w:rPr>
        <w:t>平方公里，南部紧邻绕城高速凤凰机场互通（规划在建），并通过规划一纵路联通现状绕城高速及规划第二高速，形成与三亚市域及大三亚区域的快捷联系。</w:t>
      </w:r>
    </w:p>
    <w:p>
      <w:pPr>
        <w:ind w:firstLine="640"/>
        <w:rPr>
          <w:rFonts w:hint="eastAsia"/>
        </w:rPr>
      </w:pPr>
      <w:r>
        <w:rPr>
          <w:rFonts w:hint="eastAsia"/>
        </w:rPr>
        <w:t>高速：园区</w:t>
      </w:r>
      <w:r>
        <w:t>通过</w:t>
      </w:r>
      <w:r>
        <w:rPr>
          <w:rFonts w:hint="eastAsia"/>
        </w:rPr>
        <w:t>一纵路、绕城高速凤凰机场互通联通</w:t>
      </w:r>
      <w:r>
        <w:t>绕城高速</w:t>
      </w:r>
      <w:r>
        <w:rPr>
          <w:rFonts w:hint="eastAsia"/>
        </w:rPr>
        <w:t>。待规划第二高速建成，向北通过一纵路联通第二高速。</w:t>
      </w:r>
    </w:p>
    <w:p>
      <w:pPr>
        <w:ind w:firstLine="640"/>
      </w:pPr>
      <w:r>
        <w:rPr>
          <w:rFonts w:hint="eastAsia"/>
        </w:rPr>
        <w:t>航空</w:t>
      </w:r>
      <w:r>
        <w:t>：</w:t>
      </w:r>
      <w:r>
        <w:rPr>
          <w:rFonts w:hint="eastAsia"/>
        </w:rPr>
        <w:t>园区</w:t>
      </w:r>
      <w:r>
        <w:t>通过</w:t>
      </w:r>
      <w:r>
        <w:rPr>
          <w:rFonts w:hint="eastAsia"/>
        </w:rPr>
        <w:t>一</w:t>
      </w:r>
      <w:r>
        <w:t>纵</w:t>
      </w:r>
      <w:r>
        <w:rPr>
          <w:rFonts w:hint="eastAsia"/>
        </w:rPr>
        <w:t>路、五号路联通三亚凤凰国际</w:t>
      </w:r>
      <w:r>
        <w:t>机场</w:t>
      </w:r>
      <w:r>
        <w:rPr>
          <w:rFonts w:hint="eastAsia"/>
        </w:rPr>
        <w:t>。</w:t>
      </w:r>
    </w:p>
    <w:p>
      <w:pPr>
        <w:ind w:firstLine="640"/>
        <w:rPr>
          <w:rFonts w:hint="eastAsia"/>
        </w:rPr>
      </w:pPr>
      <w:r>
        <w:rPr>
          <w:rFonts w:hint="eastAsia"/>
        </w:rPr>
        <w:t>港口：园区</w:t>
      </w:r>
      <w:r>
        <w:t>通过绕城高速</w:t>
      </w:r>
      <w:r>
        <w:rPr>
          <w:rFonts w:hint="eastAsia"/>
        </w:rPr>
        <w:t>联通</w:t>
      </w:r>
      <w:r>
        <w:t>南山港</w:t>
      </w:r>
      <w:r>
        <w:rPr>
          <w:rFonts w:hint="eastAsia"/>
        </w:rPr>
        <w:t>、凤凰岛国际邮轮港</w:t>
      </w:r>
      <w:r>
        <w:t>。</w:t>
      </w:r>
    </w:p>
    <w:p>
      <w:pPr>
        <w:ind w:firstLine="640"/>
        <w:rPr>
          <w:rFonts w:hint="eastAsia"/>
        </w:rPr>
      </w:pPr>
      <w:r>
        <w:rPr>
          <w:rFonts w:hint="eastAsia"/>
        </w:rPr>
        <w:t>高铁</w:t>
      </w:r>
      <w:r>
        <w:t>：</w:t>
      </w:r>
      <w:r>
        <w:rPr>
          <w:rFonts w:hint="eastAsia"/>
        </w:rPr>
        <w:t>园区</w:t>
      </w:r>
      <w:r>
        <w:t>通过</w:t>
      </w:r>
      <w:r>
        <w:rPr>
          <w:rFonts w:hint="eastAsia"/>
        </w:rPr>
        <w:t>五号路、</w:t>
      </w:r>
      <w:r>
        <w:t>绕城高速</w:t>
      </w:r>
      <w:r>
        <w:rPr>
          <w:rFonts w:hint="eastAsia"/>
        </w:rPr>
        <w:t>等联通</w:t>
      </w:r>
      <w:r>
        <w:t>高铁凤凰机场站</w:t>
      </w:r>
      <w:r>
        <w:rPr>
          <w:rFonts w:hint="eastAsia"/>
        </w:rPr>
        <w:t>、</w:t>
      </w:r>
      <w:r>
        <w:t>三亚站。</w:t>
      </w:r>
    </w:p>
    <w:p>
      <w:pPr>
        <w:ind w:firstLineChars="0"/>
        <w:rPr>
          <w:b/>
          <w:bCs/>
        </w:rPr>
      </w:pPr>
      <w:r>
        <w:rPr>
          <w:rFonts w:hint="eastAsia"/>
          <w:b/>
          <w:bCs/>
        </w:rPr>
        <w:t>2</w:t>
      </w:r>
      <w:r>
        <w:rPr>
          <w:b/>
          <w:bCs/>
        </w:rPr>
        <w:t xml:space="preserve"> </w:t>
      </w:r>
      <w:r>
        <w:rPr>
          <w:rFonts w:hint="eastAsia"/>
          <w:b/>
          <w:bCs/>
        </w:rPr>
        <w:t>道路系统</w:t>
      </w:r>
    </w:p>
    <w:p>
      <w:pPr>
        <w:ind w:firstLine="640"/>
      </w:pPr>
      <w:r>
        <w:rPr>
          <w:rFonts w:hint="eastAsia"/>
        </w:rPr>
        <w:t>园区道路分为区域性骨架道路、主干路、次干路和支路四级。区域性骨架道路为一纵路，贯通南北，连接绕城高速和规划第二高速。主干路包含“二横一纵”，分别为二号路、三号路、五号路，主干路联通东部、南部其他发展组团。次干路、支路形成外环内网的网状体系。</w:t>
      </w:r>
    </w:p>
    <w:p>
      <w:pPr>
        <w:ind w:firstLine="0" w:firstLineChars="0"/>
        <w:rPr>
          <w:rFonts w:hint="eastAsia"/>
          <w:b/>
          <w:bCs/>
        </w:rPr>
      </w:pPr>
    </w:p>
    <w:p>
      <w:pPr>
        <w:widowControl/>
        <w:spacing w:line="240" w:lineRule="auto"/>
        <w:ind w:firstLine="0" w:firstLineChars="0"/>
        <w:jc w:val="left"/>
        <w:rPr>
          <w:b/>
          <w:bCs/>
        </w:rPr>
      </w:pPr>
      <w:r>
        <w:rPr>
          <w:b/>
          <w:bCs/>
        </w:rPr>
        <w:br w:type="page"/>
      </w:r>
    </w:p>
    <w:p>
      <w:pPr>
        <w:ind w:firstLineChars="0"/>
        <w:rPr>
          <w:rFonts w:hint="eastAsia"/>
          <w:b/>
          <w:bCs/>
        </w:rPr>
      </w:pPr>
      <w:r>
        <w:rPr>
          <w:rFonts w:hint="eastAsia"/>
          <w:b/>
          <w:bCs/>
        </w:rPr>
        <w:t>附图</w:t>
      </w:r>
    </w:p>
    <w:p>
      <w:pPr>
        <w:spacing w:line="240" w:lineRule="auto"/>
        <w:ind w:firstLine="198" w:firstLineChars="0"/>
        <w:rPr>
          <w:b/>
          <w:bCs/>
        </w:rPr>
      </w:pPr>
      <w:r>
        <w:drawing>
          <wp:inline distT="0" distB="0" distL="0" distR="0">
            <wp:extent cx="5274310" cy="746315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7463155"/>
                    </a:xfrm>
                    <a:prstGeom prst="rect">
                      <a:avLst/>
                    </a:prstGeom>
                    <a:noFill/>
                    <a:ln>
                      <a:noFill/>
                    </a:ln>
                  </pic:spPr>
                </pic:pic>
              </a:graphicData>
            </a:graphic>
          </wp:inline>
        </w:drawing>
      </w:r>
    </w:p>
    <w:p>
      <w:pPr>
        <w:spacing w:line="240" w:lineRule="auto"/>
        <w:ind w:firstLine="198" w:firstLineChars="0"/>
        <w:rPr>
          <w:b/>
          <w:bCs/>
        </w:rPr>
      </w:pPr>
      <w:r>
        <w:drawing>
          <wp:inline distT="0" distB="0" distL="0" distR="0">
            <wp:extent cx="5274310" cy="74656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7465695"/>
                    </a:xfrm>
                    <a:prstGeom prst="rect">
                      <a:avLst/>
                    </a:prstGeom>
                    <a:noFill/>
                    <a:ln>
                      <a:noFill/>
                    </a:ln>
                  </pic:spPr>
                </pic:pic>
              </a:graphicData>
            </a:graphic>
          </wp:inline>
        </w:drawing>
      </w:r>
    </w:p>
    <w:p>
      <w:pPr>
        <w:spacing w:line="240" w:lineRule="auto"/>
        <w:ind w:firstLine="198" w:firstLineChars="0"/>
        <w:rPr>
          <w:b/>
          <w:bCs/>
        </w:rPr>
      </w:pPr>
      <w:r>
        <w:drawing>
          <wp:inline distT="0" distB="0" distL="0" distR="0">
            <wp:extent cx="5274310" cy="746569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7465695"/>
                    </a:xfrm>
                    <a:prstGeom prst="rect">
                      <a:avLst/>
                    </a:prstGeom>
                    <a:noFill/>
                    <a:ln>
                      <a:noFill/>
                    </a:ln>
                  </pic:spPr>
                </pic:pic>
              </a:graphicData>
            </a:graphic>
          </wp:inline>
        </w:drawing>
      </w:r>
    </w:p>
    <w:p>
      <w:pPr>
        <w:spacing w:line="240" w:lineRule="auto"/>
        <w:ind w:firstLine="198" w:firstLineChars="0"/>
        <w:rPr>
          <w:b/>
          <w:bCs/>
        </w:rPr>
      </w:pPr>
      <w:r>
        <w:drawing>
          <wp:inline distT="0" distB="0" distL="0" distR="0">
            <wp:extent cx="5274310" cy="746569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7465695"/>
                    </a:xfrm>
                    <a:prstGeom prst="rect">
                      <a:avLst/>
                    </a:prstGeom>
                    <a:noFill/>
                    <a:ln>
                      <a:noFill/>
                    </a:ln>
                  </pic:spPr>
                </pic:pic>
              </a:graphicData>
            </a:graphic>
          </wp:inline>
        </w:drawing>
      </w:r>
    </w:p>
    <w:p>
      <w:pPr>
        <w:spacing w:line="240" w:lineRule="auto"/>
        <w:ind w:firstLine="198" w:firstLineChars="0"/>
        <w:rPr>
          <w:b/>
          <w:bCs/>
        </w:rPr>
      </w:pPr>
      <w:r>
        <w:drawing>
          <wp:inline distT="0" distB="0" distL="0" distR="0">
            <wp:extent cx="5274310" cy="74637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7463790"/>
                    </a:xfrm>
                    <a:prstGeom prst="rect">
                      <a:avLst/>
                    </a:prstGeom>
                    <a:noFill/>
                    <a:ln>
                      <a:noFill/>
                    </a:ln>
                  </pic:spPr>
                </pic:pic>
              </a:graphicData>
            </a:graphic>
          </wp:inline>
        </w:drawing>
      </w:r>
    </w:p>
    <w:p>
      <w:pPr>
        <w:spacing w:line="240" w:lineRule="auto"/>
        <w:ind w:firstLine="198" w:firstLineChars="0"/>
        <w:rPr>
          <w:b/>
          <w:bCs/>
        </w:rPr>
      </w:pPr>
      <w:r>
        <w:drawing>
          <wp:inline distT="0" distB="0" distL="0" distR="0">
            <wp:extent cx="5274310" cy="74637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7463790"/>
                    </a:xfrm>
                    <a:prstGeom prst="rect">
                      <a:avLst/>
                    </a:prstGeom>
                    <a:noFill/>
                    <a:ln>
                      <a:noFill/>
                    </a:ln>
                  </pic:spPr>
                </pic:pic>
              </a:graphicData>
            </a:graphic>
          </wp:inline>
        </w:drawing>
      </w:r>
    </w:p>
    <w:p>
      <w:pPr>
        <w:spacing w:line="240" w:lineRule="auto"/>
        <w:ind w:firstLine="198" w:firstLineChars="0"/>
        <w:rPr>
          <w:b/>
          <w:bCs/>
        </w:rPr>
      </w:pPr>
      <w:r>
        <w:drawing>
          <wp:inline distT="0" distB="0" distL="0" distR="0">
            <wp:extent cx="5274310" cy="74676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7467600"/>
                    </a:xfrm>
                    <a:prstGeom prst="rect">
                      <a:avLst/>
                    </a:prstGeom>
                    <a:noFill/>
                    <a:ln>
                      <a:noFill/>
                    </a:ln>
                  </pic:spPr>
                </pic:pic>
              </a:graphicData>
            </a:graphic>
          </wp:inline>
        </w:drawing>
      </w:r>
    </w:p>
    <w:p>
      <w:pPr>
        <w:spacing w:line="240" w:lineRule="auto"/>
        <w:ind w:firstLine="198" w:firstLineChars="0"/>
        <w:rPr>
          <w:b/>
          <w:bCs/>
        </w:rPr>
      </w:pPr>
    </w:p>
    <w:p>
      <w:pPr>
        <w:spacing w:line="240" w:lineRule="auto"/>
        <w:ind w:firstLine="198" w:firstLineChars="0"/>
        <w:rPr>
          <w:b/>
          <w:bCs/>
        </w:rPr>
      </w:pPr>
      <w:r>
        <w:drawing>
          <wp:inline distT="0" distB="0" distL="0" distR="0">
            <wp:extent cx="5274310" cy="74637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7463790"/>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36B9F"/>
    <w:multiLevelType w:val="multilevel"/>
    <w:tmpl w:val="34736B9F"/>
    <w:lvl w:ilvl="0" w:tentative="0">
      <w:start w:val="1"/>
      <w:numFmt w:val="decimal"/>
      <w:pStyle w:val="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
    <w:nsid w:val="4661495A"/>
    <w:multiLevelType w:val="multilevel"/>
    <w:tmpl w:val="4661495A"/>
    <w:lvl w:ilvl="0" w:tentative="0">
      <w:start w:val="1"/>
      <w:numFmt w:val="japaneseCounting"/>
      <w:lvlText w:val="%1、"/>
      <w:lvlJc w:val="left"/>
      <w:pPr>
        <w:ind w:left="919" w:hanging="720"/>
      </w:pPr>
      <w:rPr>
        <w:rFonts w:hint="default"/>
      </w:rPr>
    </w:lvl>
    <w:lvl w:ilvl="1" w:tentative="0">
      <w:start w:val="1"/>
      <w:numFmt w:val="lowerLetter"/>
      <w:lvlText w:val="%2)"/>
      <w:lvlJc w:val="left"/>
      <w:pPr>
        <w:ind w:left="1039" w:hanging="420"/>
      </w:pPr>
    </w:lvl>
    <w:lvl w:ilvl="2" w:tentative="0">
      <w:start w:val="1"/>
      <w:numFmt w:val="lowerRoman"/>
      <w:lvlText w:val="%3."/>
      <w:lvlJc w:val="right"/>
      <w:pPr>
        <w:ind w:left="1459" w:hanging="420"/>
      </w:pPr>
    </w:lvl>
    <w:lvl w:ilvl="3" w:tentative="0">
      <w:start w:val="1"/>
      <w:numFmt w:val="decimal"/>
      <w:lvlText w:val="%4."/>
      <w:lvlJc w:val="left"/>
      <w:pPr>
        <w:ind w:left="1879" w:hanging="420"/>
      </w:pPr>
    </w:lvl>
    <w:lvl w:ilvl="4" w:tentative="0">
      <w:start w:val="1"/>
      <w:numFmt w:val="lowerLetter"/>
      <w:lvlText w:val="%5)"/>
      <w:lvlJc w:val="left"/>
      <w:pPr>
        <w:ind w:left="2299" w:hanging="420"/>
      </w:pPr>
    </w:lvl>
    <w:lvl w:ilvl="5" w:tentative="0">
      <w:start w:val="1"/>
      <w:numFmt w:val="lowerRoman"/>
      <w:lvlText w:val="%6."/>
      <w:lvlJc w:val="right"/>
      <w:pPr>
        <w:ind w:left="2719" w:hanging="420"/>
      </w:pPr>
    </w:lvl>
    <w:lvl w:ilvl="6" w:tentative="0">
      <w:start w:val="1"/>
      <w:numFmt w:val="decimal"/>
      <w:lvlText w:val="%7."/>
      <w:lvlJc w:val="left"/>
      <w:pPr>
        <w:ind w:left="3139" w:hanging="420"/>
      </w:pPr>
    </w:lvl>
    <w:lvl w:ilvl="7" w:tentative="0">
      <w:start w:val="1"/>
      <w:numFmt w:val="lowerLetter"/>
      <w:lvlText w:val="%8)"/>
      <w:lvlJc w:val="left"/>
      <w:pPr>
        <w:ind w:left="3559" w:hanging="420"/>
      </w:pPr>
    </w:lvl>
    <w:lvl w:ilvl="8" w:tentative="0">
      <w:start w:val="1"/>
      <w:numFmt w:val="lowerRoman"/>
      <w:lvlText w:val="%9."/>
      <w:lvlJc w:val="right"/>
      <w:pPr>
        <w:ind w:left="3979"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09B"/>
    <w:rsid w:val="00040930"/>
    <w:rsid w:val="00042C81"/>
    <w:rsid w:val="00106325"/>
    <w:rsid w:val="0014355C"/>
    <w:rsid w:val="00150F3F"/>
    <w:rsid w:val="001801B9"/>
    <w:rsid w:val="0018309B"/>
    <w:rsid w:val="0019193D"/>
    <w:rsid w:val="002B6FFA"/>
    <w:rsid w:val="002F3A2D"/>
    <w:rsid w:val="0037015F"/>
    <w:rsid w:val="003A537E"/>
    <w:rsid w:val="003B7765"/>
    <w:rsid w:val="004821F1"/>
    <w:rsid w:val="00484375"/>
    <w:rsid w:val="004A3826"/>
    <w:rsid w:val="004C07E9"/>
    <w:rsid w:val="00500990"/>
    <w:rsid w:val="0050173B"/>
    <w:rsid w:val="005046A4"/>
    <w:rsid w:val="00510A54"/>
    <w:rsid w:val="0053688A"/>
    <w:rsid w:val="005F2A6F"/>
    <w:rsid w:val="00620B21"/>
    <w:rsid w:val="00656808"/>
    <w:rsid w:val="00685077"/>
    <w:rsid w:val="006D1678"/>
    <w:rsid w:val="006D44FE"/>
    <w:rsid w:val="00765146"/>
    <w:rsid w:val="007B220E"/>
    <w:rsid w:val="007B2A57"/>
    <w:rsid w:val="007E2D71"/>
    <w:rsid w:val="00800921"/>
    <w:rsid w:val="00803345"/>
    <w:rsid w:val="008F075D"/>
    <w:rsid w:val="009C4E51"/>
    <w:rsid w:val="00A07DB9"/>
    <w:rsid w:val="00AF59EC"/>
    <w:rsid w:val="00B25E96"/>
    <w:rsid w:val="00B378A2"/>
    <w:rsid w:val="00B95326"/>
    <w:rsid w:val="00B954DC"/>
    <w:rsid w:val="00BA5426"/>
    <w:rsid w:val="00BD33C0"/>
    <w:rsid w:val="00BE18C8"/>
    <w:rsid w:val="00C715F2"/>
    <w:rsid w:val="00CF197F"/>
    <w:rsid w:val="00CF3B18"/>
    <w:rsid w:val="00D315E1"/>
    <w:rsid w:val="00D47214"/>
    <w:rsid w:val="00D61AFC"/>
    <w:rsid w:val="00DC7561"/>
    <w:rsid w:val="00DD25A2"/>
    <w:rsid w:val="00DF21E6"/>
    <w:rsid w:val="00DF3A4B"/>
    <w:rsid w:val="00EE7B24"/>
    <w:rsid w:val="00EF714B"/>
    <w:rsid w:val="00F24AF6"/>
    <w:rsid w:val="00F82CD4"/>
    <w:rsid w:val="00FD5D9B"/>
    <w:rsid w:val="00FF1392"/>
    <w:rsid w:val="4BD71A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Calibri" w:hAnsi="Calibri" w:eastAsia="仿宋" w:cs="Times New Roman"/>
      <w:kern w:val="2"/>
      <w:sz w:val="32"/>
      <w:szCs w:val="22"/>
      <w:lang w:val="en-US" w:eastAsia="zh-CN" w:bidi="ar-SA"/>
    </w:rPr>
  </w:style>
  <w:style w:type="paragraph" w:styleId="2">
    <w:name w:val="heading 3"/>
    <w:basedOn w:val="1"/>
    <w:next w:val="1"/>
    <w:link w:val="8"/>
    <w:qFormat/>
    <w:uiPriority w:val="0"/>
    <w:pPr>
      <w:keepNext/>
      <w:keepLines/>
      <w:numPr>
        <w:ilvl w:val="0"/>
        <w:numId w:val="1"/>
      </w:numPr>
      <w:spacing w:before="120" w:after="120" w:line="520" w:lineRule="exact"/>
      <w:ind w:firstLine="0" w:firstLineChars="0"/>
      <w:outlineLvl w:val="2"/>
    </w:pPr>
    <w:rPr>
      <w:rFonts w:ascii="仿宋" w:hAnsi="仿宋" w:cstheme="minorBidi"/>
      <w:b/>
      <w:bCs/>
      <w:szCs w:val="32"/>
    </w:rPr>
  </w:style>
  <w:style w:type="character" w:default="1" w:styleId="7">
    <w:name w:val="Default Paragraph Font"/>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link w:val="12"/>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
    <w:name w:val="标题 3 字符"/>
    <w:link w:val="2"/>
    <w:qFormat/>
    <w:uiPriority w:val="0"/>
    <w:rPr>
      <w:rFonts w:ascii="仿宋" w:hAnsi="仿宋" w:eastAsia="仿宋"/>
      <w:b/>
      <w:bCs/>
      <w:sz w:val="32"/>
      <w:szCs w:val="32"/>
    </w:rPr>
  </w:style>
  <w:style w:type="paragraph" w:styleId="9">
    <w:name w:val="List Paragraph"/>
    <w:basedOn w:val="1"/>
    <w:qFormat/>
    <w:uiPriority w:val="34"/>
    <w:pPr>
      <w:ind w:firstLine="420"/>
    </w:pPr>
  </w:style>
  <w:style w:type="paragraph" w:customStyle="1" w:styleId="10">
    <w:name w:val="_条文正文"/>
    <w:basedOn w:val="1"/>
    <w:qFormat/>
    <w:uiPriority w:val="0"/>
    <w:pPr>
      <w:spacing w:before="163" w:beforeLines="50" w:after="163" w:afterLines="50" w:line="560" w:lineRule="exact"/>
      <w:ind w:left="1361" w:firstLine="0" w:firstLineChars="0"/>
    </w:pPr>
    <w:rPr>
      <w:rFonts w:ascii="仿宋" w:hAnsi="仿宋" w:eastAsia="仿宋" w:cs="宋体"/>
      <w:szCs w:val="20"/>
    </w:rPr>
  </w:style>
  <w:style w:type="character" w:customStyle="1" w:styleId="11">
    <w:name w:val="页眉 字符"/>
    <w:basedOn w:val="7"/>
    <w:link w:val="4"/>
    <w:qFormat/>
    <w:uiPriority w:val="99"/>
    <w:rPr>
      <w:rFonts w:ascii="Calibri" w:hAnsi="Calibri" w:eastAsia="仿宋" w:cs="Times New Roman"/>
      <w:sz w:val="18"/>
      <w:szCs w:val="18"/>
    </w:rPr>
  </w:style>
  <w:style w:type="character" w:customStyle="1" w:styleId="12">
    <w:name w:val="页脚 字符"/>
    <w:basedOn w:val="7"/>
    <w:link w:val="3"/>
    <w:uiPriority w:val="99"/>
    <w:rPr>
      <w:rFonts w:ascii="Calibri" w:hAnsi="Calibri" w:eastAsia="仿宋"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0F0335-B86A-467B-B291-42DA6DA1E04C}">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528</Words>
  <Characters>3015</Characters>
  <Lines>25</Lines>
  <Paragraphs>7</Paragraphs>
  <TotalTime>3649</TotalTime>
  <ScaleCrop>false</ScaleCrop>
  <LinksUpToDate>false</LinksUpToDate>
  <CharactersWithSpaces>3536</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2020-09-10T02:58:00Z</dcterms:created>
  <dc:creator>think</dc:creator>
  <cp:lastModifiedBy>李荻</cp:lastModifiedBy>
  <dcterms:modified xsi:type="dcterms:W3CDTF">2020-09-14T07:03:36Z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