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olor w:val="000000"/>
          <w:sz w:val="30"/>
          <w:szCs w:val="30"/>
        </w:rPr>
      </w:pPr>
    </w:p>
    <w:p>
      <w:pPr>
        <w:widowControl/>
        <w:shd w:val="clear" w:color="auto" w:fill="FFFFFF"/>
        <w:spacing w:line="520" w:lineRule="atLeast"/>
        <w:jc w:val="center"/>
        <w:rPr>
          <w:rFonts w:ascii="等线" w:hAnsi="等线" w:eastAsia="等线" w:cs="宋体"/>
          <w:color w:val="222222"/>
          <w:kern w:val="0"/>
          <w:szCs w:val="21"/>
        </w:rPr>
      </w:pPr>
      <w:r>
        <w:rPr>
          <w:rFonts w:hint="eastAsia" w:ascii="仿宋" w:hAnsi="仿宋" w:eastAsia="仿宋" w:cs="宋体"/>
          <w:b/>
          <w:bCs/>
          <w:color w:val="000000"/>
          <w:kern w:val="0"/>
          <w:sz w:val="32"/>
          <w:szCs w:val="32"/>
        </w:rPr>
        <w:t>《三亚市互联网信息产业园——信息创意产业园控制性详细规划》（原</w:t>
      </w:r>
      <w:r>
        <w:rPr>
          <w:rFonts w:hint="eastAsia" w:ascii="仿宋" w:hAnsi="仿宋" w:eastAsia="仿宋" w:cs="宋体"/>
          <w:b/>
          <w:bCs/>
          <w:color w:val="000000"/>
          <w:kern w:val="0"/>
          <w:sz w:val="32"/>
          <w:szCs w:val="32"/>
          <w:lang w:eastAsia="zh-CN"/>
        </w:rPr>
        <w:t>《</w:t>
      </w:r>
      <w:r>
        <w:rPr>
          <w:rFonts w:hint="eastAsia" w:ascii="仿宋" w:hAnsi="仿宋" w:eastAsia="仿宋" w:cs="宋体"/>
          <w:b/>
          <w:bCs/>
          <w:color w:val="000000"/>
          <w:kern w:val="0"/>
          <w:sz w:val="32"/>
          <w:szCs w:val="32"/>
        </w:rPr>
        <w:t>三亚市智慧产业园</w:t>
      </w:r>
      <w:r>
        <w:rPr>
          <w:rFonts w:hint="eastAsia" w:ascii="仿宋" w:hAnsi="仿宋" w:eastAsia="仿宋" w:cs="宋体"/>
          <w:b/>
          <w:bCs/>
          <w:color w:val="000000"/>
          <w:kern w:val="0"/>
          <w:sz w:val="32"/>
          <w:szCs w:val="32"/>
          <w:lang w:eastAsia="zh-CN"/>
        </w:rPr>
        <w:t>区</w:t>
      </w:r>
      <w:r>
        <w:rPr>
          <w:rFonts w:hint="eastAsia" w:ascii="仿宋" w:hAnsi="仿宋" w:eastAsia="仿宋" w:cs="宋体"/>
          <w:b/>
          <w:bCs/>
          <w:color w:val="000000"/>
          <w:kern w:val="0"/>
          <w:sz w:val="32"/>
          <w:szCs w:val="32"/>
        </w:rPr>
        <w:t>控制性详细规划</w:t>
      </w:r>
      <w:r>
        <w:rPr>
          <w:rFonts w:hint="eastAsia" w:ascii="仿宋" w:hAnsi="仿宋" w:eastAsia="仿宋" w:cs="宋体"/>
          <w:b/>
          <w:bCs/>
          <w:color w:val="000000"/>
          <w:kern w:val="0"/>
          <w:sz w:val="32"/>
          <w:szCs w:val="32"/>
          <w:lang w:eastAsia="zh-CN"/>
        </w:rPr>
        <w:t>（</w:t>
      </w:r>
      <w:r>
        <w:rPr>
          <w:rFonts w:hint="eastAsia" w:ascii="仿宋" w:hAnsi="仿宋" w:eastAsia="仿宋" w:cs="宋体"/>
          <w:b/>
          <w:bCs/>
          <w:color w:val="000000"/>
          <w:kern w:val="0"/>
          <w:sz w:val="32"/>
          <w:szCs w:val="32"/>
        </w:rPr>
        <w:t>修编</w:t>
      </w:r>
      <w:r>
        <w:rPr>
          <w:rFonts w:hint="eastAsia" w:ascii="仿宋" w:hAnsi="仿宋" w:eastAsia="仿宋" w:cs="宋体"/>
          <w:b/>
          <w:bCs/>
          <w:color w:val="000000"/>
          <w:kern w:val="0"/>
          <w:sz w:val="32"/>
          <w:szCs w:val="32"/>
          <w:lang w:eastAsia="zh-CN"/>
        </w:rPr>
        <w:t>）》</w:t>
      </w:r>
      <w:r>
        <w:rPr>
          <w:rFonts w:hint="eastAsia" w:ascii="仿宋" w:hAnsi="仿宋" w:eastAsia="仿宋" w:cs="宋体"/>
          <w:b/>
          <w:bCs/>
          <w:color w:val="000000"/>
          <w:kern w:val="0"/>
          <w:sz w:val="32"/>
          <w:szCs w:val="32"/>
        </w:rPr>
        <w:t>）简介</w:t>
      </w:r>
    </w:p>
    <w:p>
      <w:pPr>
        <w:widowControl/>
        <w:shd w:val="clear" w:color="auto" w:fill="FFFFFF"/>
        <w:spacing w:line="480" w:lineRule="auto"/>
        <w:ind w:left="720" w:hanging="720"/>
        <w:jc w:val="left"/>
        <w:rPr>
          <w:rFonts w:ascii="仿宋" w:hAnsi="仿宋" w:eastAsia="仿宋" w:cs="宋体"/>
          <w:b/>
          <w:bCs/>
          <w:color w:val="222222"/>
          <w:kern w:val="0"/>
          <w:sz w:val="32"/>
          <w:szCs w:val="32"/>
        </w:rPr>
      </w:pPr>
      <w:r>
        <w:rPr>
          <w:rFonts w:hint="eastAsia" w:ascii="仿宋" w:hAnsi="仿宋" w:eastAsia="仿宋" w:cs="宋体"/>
          <w:b/>
          <w:bCs/>
          <w:color w:val="222222"/>
          <w:kern w:val="0"/>
          <w:sz w:val="32"/>
          <w:szCs w:val="32"/>
        </w:rPr>
        <w:t>一、</w:t>
      </w:r>
      <w:r>
        <w:rPr>
          <w:rFonts w:ascii="仿宋" w:hAnsi="仿宋" w:eastAsia="仿宋" w:cs="宋体"/>
          <w:b/>
          <w:bCs/>
          <w:color w:val="222222"/>
          <w:kern w:val="0"/>
          <w:sz w:val="32"/>
          <w:szCs w:val="32"/>
        </w:rPr>
        <w:t xml:space="preserve">  </w:t>
      </w:r>
      <w:r>
        <w:rPr>
          <w:rFonts w:hint="eastAsia" w:ascii="仿宋" w:hAnsi="仿宋" w:eastAsia="仿宋" w:cs="宋体"/>
          <w:b/>
          <w:bCs/>
          <w:color w:val="222222"/>
          <w:kern w:val="0"/>
          <w:sz w:val="32"/>
          <w:szCs w:val="32"/>
        </w:rPr>
        <w:t>规划编制历程</w:t>
      </w:r>
    </w:p>
    <w:p>
      <w:pPr>
        <w:widowControl/>
        <w:shd w:val="clear" w:color="auto" w:fill="FFFFFF"/>
        <w:spacing w:line="520" w:lineRule="atLeast"/>
        <w:ind w:firstLine="567"/>
        <w:rPr>
          <w:rFonts w:ascii="仿宋" w:hAnsi="仿宋" w:eastAsia="仿宋" w:cs="宋体"/>
          <w:color w:val="000000"/>
          <w:kern w:val="0"/>
          <w:sz w:val="30"/>
          <w:szCs w:val="30"/>
        </w:rPr>
      </w:pPr>
      <w:r>
        <w:rPr>
          <w:rFonts w:hint="eastAsia" w:ascii="仿宋" w:hAnsi="仿宋" w:eastAsia="仿宋" w:cs="宋体"/>
          <w:color w:val="000000"/>
          <w:kern w:val="0"/>
          <w:sz w:val="30"/>
          <w:szCs w:val="30"/>
        </w:rPr>
        <w:t>2019年6月海南省人民政府办公厅印发《海南省重点产业园区规划布局调整优化方案》，方案指出为深入贯彻习近平总书记“4</w:t>
      </w:r>
      <w:r>
        <w:rPr>
          <w:rFonts w:hint="eastAsia" w:ascii="宋体" w:hAnsi="宋体" w:eastAsia="宋体" w:cs="宋体"/>
          <w:color w:val="000000"/>
          <w:kern w:val="0"/>
          <w:sz w:val="30"/>
          <w:szCs w:val="30"/>
        </w:rPr>
        <w:t>•</w:t>
      </w:r>
      <w:r>
        <w:rPr>
          <w:rFonts w:hint="eastAsia" w:ascii="仿宋" w:hAnsi="仿宋" w:eastAsia="仿宋" w:cs="宋体"/>
          <w:color w:val="000000"/>
          <w:kern w:val="0"/>
          <w:sz w:val="30"/>
          <w:szCs w:val="30"/>
        </w:rPr>
        <w:t>13”重要讲话及中央12号文件精神，根据省委七届六次全会科学调整优化布局产业园区的相关要求，落实“全省一盘棋、全岛同城化”的发展思路。促进产业园区向“海澄文”一体化综合经济圈、“大三亚”旅游经济圈以及东西两翼集中集约布局，形成区域经济增长极。而“大三亚”重点发展休闲旅游、总部经济、深海科研、南繁育种、金融服务、教育文化等产业，东部重点发展医疗康养、休闲旅游产业，西部重点发展油气化工、港航物流、能源交易产业。该方案还确定在全省规划布局的3类25个重点产业园区，其中包含了三亚互联网信息产业园，即本次规划内容。</w:t>
      </w:r>
    </w:p>
    <w:p>
      <w:pPr>
        <w:widowControl/>
        <w:shd w:val="clear" w:color="auto" w:fill="FFFFFF"/>
        <w:spacing w:line="520" w:lineRule="atLeast"/>
        <w:ind w:firstLine="567"/>
        <w:rPr>
          <w:rFonts w:hint="eastAsia" w:ascii="仿宋" w:hAnsi="仿宋" w:eastAsia="仿宋" w:cs="宋体"/>
          <w:color w:val="000000"/>
          <w:kern w:val="0"/>
          <w:sz w:val="30"/>
          <w:szCs w:val="30"/>
          <w:lang w:eastAsia="zh-CN"/>
        </w:rPr>
      </w:pPr>
      <w:r>
        <w:rPr>
          <w:rFonts w:hint="eastAsia" w:ascii="仿宋" w:hAnsi="仿宋" w:eastAsia="仿宋" w:cs="宋体"/>
          <w:color w:val="000000"/>
          <w:kern w:val="0"/>
          <w:sz w:val="30"/>
          <w:szCs w:val="30"/>
        </w:rPr>
        <w:t>项目进行过程中征求了三亚市各职能部门意见，提交专家评审</w:t>
      </w:r>
      <w:r>
        <w:rPr>
          <w:rFonts w:hint="eastAsia" w:ascii="仿宋" w:hAnsi="仿宋" w:eastAsia="仿宋" w:cs="宋体"/>
          <w:color w:val="000000"/>
          <w:kern w:val="0"/>
          <w:sz w:val="30"/>
          <w:szCs w:val="30"/>
          <w:lang w:eastAsia="zh-CN"/>
        </w:rPr>
        <w:t>会</w:t>
      </w:r>
      <w:r>
        <w:rPr>
          <w:rFonts w:hint="eastAsia" w:ascii="仿宋" w:hAnsi="仿宋" w:eastAsia="仿宋" w:cs="宋体"/>
          <w:color w:val="000000"/>
          <w:kern w:val="0"/>
          <w:sz w:val="30"/>
          <w:szCs w:val="30"/>
        </w:rPr>
        <w:t>，</w:t>
      </w:r>
      <w:r>
        <w:rPr>
          <w:rFonts w:hint="eastAsia" w:ascii="仿宋" w:hAnsi="仿宋" w:eastAsia="仿宋" w:cs="宋体"/>
          <w:color w:val="000000"/>
          <w:kern w:val="0"/>
          <w:sz w:val="30"/>
          <w:szCs w:val="30"/>
          <w:lang w:eastAsia="zh-CN"/>
        </w:rPr>
        <w:t>并通过了</w:t>
      </w:r>
      <w:r>
        <w:rPr>
          <w:rFonts w:hint="eastAsia" w:ascii="仿宋" w:hAnsi="仿宋" w:eastAsia="仿宋" w:cs="宋体"/>
          <w:color w:val="000000"/>
          <w:kern w:val="0"/>
          <w:sz w:val="30"/>
          <w:szCs w:val="30"/>
        </w:rPr>
        <w:t>三亚市城乡规划委员会第十次会议</w:t>
      </w:r>
      <w:r>
        <w:rPr>
          <w:rFonts w:hint="eastAsia" w:ascii="仿宋" w:hAnsi="仿宋" w:eastAsia="仿宋" w:cs="宋体"/>
          <w:color w:val="000000"/>
          <w:kern w:val="0"/>
          <w:sz w:val="30"/>
          <w:szCs w:val="30"/>
          <w:lang w:eastAsia="zh-CN"/>
        </w:rPr>
        <w:t>审议</w:t>
      </w:r>
      <w:r>
        <w:rPr>
          <w:rFonts w:hint="eastAsia" w:ascii="仿宋" w:hAnsi="仿宋" w:eastAsia="仿宋" w:cs="宋体"/>
          <w:color w:val="000000"/>
          <w:kern w:val="0"/>
          <w:sz w:val="30"/>
          <w:szCs w:val="30"/>
        </w:rPr>
        <w:t>。2019年12月27日至2020年2月13日向社会公众征求意见和建议。2020年4月22日由三亚市人民政府正式批复</w:t>
      </w:r>
      <w:r>
        <w:rPr>
          <w:rFonts w:hint="eastAsia" w:ascii="仿宋" w:hAnsi="仿宋" w:eastAsia="仿宋" w:cs="宋体"/>
          <w:color w:val="000000"/>
          <w:kern w:val="0"/>
          <w:sz w:val="30"/>
          <w:szCs w:val="30"/>
          <w:lang w:eastAsia="zh-CN"/>
        </w:rPr>
        <w:t>。</w:t>
      </w:r>
    </w:p>
    <w:p>
      <w:pPr>
        <w:widowControl/>
        <w:shd w:val="clear" w:color="auto" w:fill="FFFFFF"/>
        <w:spacing w:line="520" w:lineRule="atLeast"/>
        <w:ind w:firstLine="567"/>
        <w:rPr>
          <w:rFonts w:hint="eastAsia" w:ascii="仿宋" w:hAnsi="仿宋" w:eastAsia="仿宋" w:cs="宋体"/>
          <w:color w:val="000000"/>
          <w:kern w:val="0"/>
          <w:sz w:val="30"/>
          <w:szCs w:val="30"/>
          <w:lang w:eastAsia="zh-CN"/>
        </w:rPr>
      </w:pPr>
    </w:p>
    <w:p>
      <w:pPr>
        <w:widowControl/>
        <w:shd w:val="clear" w:color="auto" w:fill="FFFFFF"/>
        <w:spacing w:line="520" w:lineRule="atLeast"/>
        <w:rPr>
          <w:rFonts w:ascii="等线" w:hAnsi="等线" w:eastAsia="等线" w:cs="宋体"/>
          <w:color w:val="222222"/>
          <w:kern w:val="0"/>
          <w:szCs w:val="21"/>
        </w:rPr>
      </w:pPr>
      <w:r>
        <w:rPr>
          <w:rFonts w:hint="eastAsia" w:ascii="仿宋" w:hAnsi="仿宋" w:eastAsia="仿宋" w:cs="宋体"/>
          <w:b/>
          <w:bCs/>
          <w:color w:val="222222"/>
          <w:kern w:val="0"/>
          <w:sz w:val="32"/>
          <w:szCs w:val="32"/>
        </w:rPr>
        <w:t>二、</w:t>
      </w:r>
      <w:r>
        <w:rPr>
          <w:rFonts w:ascii="Times New Roman" w:hAnsi="Times New Roman" w:eastAsia="仿宋" w:cs="Times New Roman"/>
          <w:b/>
          <w:bCs/>
          <w:color w:val="222222"/>
          <w:kern w:val="0"/>
          <w:sz w:val="14"/>
          <w:szCs w:val="14"/>
        </w:rPr>
        <w:t xml:space="preserve"> </w:t>
      </w:r>
      <w:r>
        <w:rPr>
          <w:rFonts w:hint="eastAsia" w:ascii="仿宋" w:hAnsi="仿宋" w:eastAsia="仿宋" w:cs="宋体"/>
          <w:b/>
          <w:bCs/>
          <w:color w:val="222222"/>
          <w:kern w:val="0"/>
          <w:sz w:val="32"/>
          <w:szCs w:val="32"/>
        </w:rPr>
        <w:t>规划范围</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lang w:eastAsia="zh-CN"/>
        </w:rPr>
        <w:drawing>
          <wp:anchor distT="0" distB="0" distL="114300" distR="114300" simplePos="0" relativeHeight="251658240" behindDoc="1" locked="0" layoutInCell="1" allowOverlap="1">
            <wp:simplePos x="0" y="0"/>
            <wp:positionH relativeFrom="column">
              <wp:posOffset>24765</wp:posOffset>
            </wp:positionH>
            <wp:positionV relativeFrom="paragraph">
              <wp:posOffset>1125855</wp:posOffset>
            </wp:positionV>
            <wp:extent cx="5271135" cy="2997835"/>
            <wp:effectExtent l="0" t="0" r="5715" b="31115"/>
            <wp:wrapTight wrapText="bothSides">
              <wp:wrapPolygon>
                <wp:start x="0" y="0"/>
                <wp:lineTo x="0" y="21412"/>
                <wp:lineTo x="21545" y="21412"/>
                <wp:lineTo x="21545" y="0"/>
                <wp:lineTo x="0" y="0"/>
              </wp:wrapPolygon>
            </wp:wrapTight>
            <wp:docPr id="1" name="图片 1" descr="高新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新区位图"/>
                    <pic:cNvPicPr>
                      <a:picLocks noChangeAspect="1"/>
                    </pic:cNvPicPr>
                  </pic:nvPicPr>
                  <pic:blipFill>
                    <a:blip r:embed="rId4"/>
                    <a:srcRect b="8170"/>
                    <a:stretch>
                      <a:fillRect/>
                    </a:stretch>
                  </pic:blipFill>
                  <pic:spPr>
                    <a:xfrm>
                      <a:off x="0" y="0"/>
                      <a:ext cx="5271135" cy="2997835"/>
                    </a:xfrm>
                    <a:prstGeom prst="rect">
                      <a:avLst/>
                    </a:prstGeom>
                  </pic:spPr>
                </pic:pic>
              </a:graphicData>
            </a:graphic>
          </wp:anchor>
        </w:drawing>
      </w:r>
      <w:r>
        <w:rPr>
          <w:rFonts w:hint="eastAsia" w:ascii="仿宋" w:hAnsi="仿宋" w:eastAsia="仿宋" w:cs="宋体"/>
          <w:color w:val="222222"/>
          <w:kern w:val="0"/>
          <w:sz w:val="30"/>
          <w:szCs w:val="30"/>
        </w:rPr>
        <w:t>规划控制区范围：位于市吉阳区吉阳大道沿线，东至大茅河，西至南下岭山脚下，南至吉阳镇安置区规划路，北至马岭山脚下，呈狭长的叶状,规划总用地面积：374.43公顷。</w:t>
      </w:r>
    </w:p>
    <w:p>
      <w:pPr>
        <w:rPr>
          <w:rFonts w:ascii="仿宋" w:hAnsi="仿宋" w:eastAsia="仿宋" w:cs="宋体"/>
          <w:color w:val="222222"/>
          <w:kern w:val="0"/>
          <w:sz w:val="30"/>
          <w:szCs w:val="30"/>
        </w:rPr>
      </w:pPr>
    </w:p>
    <w:p>
      <w:pPr>
        <w:widowControl/>
        <w:shd w:val="clear" w:color="auto" w:fill="FFFFFF"/>
        <w:spacing w:line="480" w:lineRule="auto"/>
        <w:ind w:left="720" w:hanging="720"/>
        <w:jc w:val="left"/>
        <w:rPr>
          <w:rFonts w:ascii="仿宋" w:hAnsi="仿宋" w:eastAsia="仿宋" w:cs="宋体"/>
          <w:b/>
          <w:bCs/>
          <w:color w:val="222222"/>
          <w:kern w:val="0"/>
          <w:sz w:val="32"/>
          <w:szCs w:val="32"/>
        </w:rPr>
      </w:pPr>
      <w:r>
        <w:rPr>
          <w:rFonts w:hint="eastAsia" w:ascii="仿宋" w:hAnsi="仿宋" w:eastAsia="仿宋" w:cs="宋体"/>
          <w:b/>
          <w:bCs/>
          <w:color w:val="222222"/>
          <w:kern w:val="0"/>
          <w:sz w:val="32"/>
          <w:szCs w:val="32"/>
        </w:rPr>
        <w:t>三、</w:t>
      </w:r>
      <w:r>
        <w:rPr>
          <w:rFonts w:ascii="Times New Roman" w:hAnsi="Times New Roman" w:eastAsia="仿宋" w:cs="Times New Roman"/>
          <w:b/>
          <w:bCs/>
          <w:color w:val="222222"/>
          <w:kern w:val="0"/>
          <w:sz w:val="14"/>
          <w:szCs w:val="14"/>
        </w:rPr>
        <w:t xml:space="preserve"> </w:t>
      </w:r>
      <w:r>
        <w:rPr>
          <w:rFonts w:hint="eastAsia" w:ascii="仿宋" w:hAnsi="仿宋" w:eastAsia="仿宋" w:cs="宋体"/>
          <w:b/>
          <w:bCs/>
          <w:color w:val="222222"/>
          <w:kern w:val="0"/>
          <w:sz w:val="32"/>
          <w:szCs w:val="32"/>
        </w:rPr>
        <w:t>发展定位</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从科技创新、经济发展、生态宜居三个方面构建规划区发展目标。</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园区经济发展战略方向实现三个转变：经济结构由偏轻型、偏低层次向高级化、适度重型转变；经济增长方式由粗放型向集约型转变；产业布局由分散无序向集群化、专业化转变，使园区范围内的经济高技术化、集约化、组团化。</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逐步完善互联网信息产业发展环境，为园区内企业技术创新提供基础条件，使园区成为海南最具活力最优影响力的互联网信息产业园—信息创意产业园。</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健全和完善园区的管理体制是发展园区互联网信息产业—信息创意产业的必要环节，园区将建立适应互联网信息产业—信息创意产业发展的新体制，具体目标是：在市场化、城市化、全球化的推动下，使园区自身迅速发展、区内外发展环境逐步统一带动下，实现园区功能多元化、开发建设市场化，政企分离、协作型的管理模式。</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基于以上分析，规划区定位如下：</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形象定位：智慧磁极、活力中心、生态栖谷。</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功能定位：信息创意科技园、三亚城市门户。</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市场定位：面向特征产业的中小企业、面向本地与国际的服务业高地。</w:t>
      </w:r>
    </w:p>
    <w:p>
      <w:pPr>
        <w:ind w:firstLine="600" w:firstLineChars="200"/>
        <w:rPr>
          <w:rFonts w:ascii="仿宋" w:hAnsi="仿宋" w:eastAsia="仿宋" w:cs="宋体"/>
          <w:color w:val="222222"/>
          <w:kern w:val="0"/>
          <w:sz w:val="30"/>
          <w:szCs w:val="30"/>
        </w:rPr>
      </w:pPr>
      <w:r>
        <w:rPr>
          <w:rFonts w:ascii="仿宋" w:hAnsi="仿宋" w:eastAsia="仿宋" w:cs="宋体"/>
          <w:color w:val="222222"/>
          <w:kern w:val="0"/>
          <w:sz w:val="30"/>
          <w:szCs w:val="30"/>
        </w:rPr>
        <w:drawing>
          <wp:inline distT="0" distB="0" distL="0" distR="0">
            <wp:extent cx="5215890" cy="2900045"/>
            <wp:effectExtent l="0" t="0" r="3810" b="14605"/>
            <wp:docPr id="8" name="图片 1" descr="E:\0418LMK\亚龙湾高铁站\三亚院\效果图.jpg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E:\0418LMK\亚龙湾高铁站\三亚院\效果图.jpg效果图"/>
                    <pic:cNvPicPr>
                      <a:picLocks noChangeAspect="1"/>
                    </pic:cNvPicPr>
                  </pic:nvPicPr>
                  <pic:blipFill>
                    <a:blip r:embed="rId5"/>
                    <a:srcRect/>
                    <a:stretch>
                      <a:fillRect/>
                    </a:stretch>
                  </pic:blipFill>
                  <pic:spPr>
                    <a:xfrm>
                      <a:off x="0" y="0"/>
                      <a:ext cx="5215890" cy="2900260"/>
                    </a:xfrm>
                    <a:prstGeom prst="rect">
                      <a:avLst/>
                    </a:prstGeom>
                  </pic:spPr>
                </pic:pic>
              </a:graphicData>
            </a:graphic>
          </wp:inline>
        </w:drawing>
      </w:r>
    </w:p>
    <w:p>
      <w:pPr>
        <w:widowControl/>
        <w:shd w:val="clear" w:color="auto" w:fill="FFFFFF"/>
        <w:spacing w:line="480" w:lineRule="auto"/>
        <w:ind w:left="720" w:hanging="720"/>
        <w:jc w:val="left"/>
        <w:rPr>
          <w:rFonts w:ascii="仿宋" w:hAnsi="仿宋" w:eastAsia="仿宋" w:cs="宋体"/>
          <w:b/>
          <w:bCs/>
          <w:color w:val="222222"/>
          <w:kern w:val="0"/>
          <w:sz w:val="32"/>
          <w:szCs w:val="32"/>
        </w:rPr>
      </w:pPr>
      <w:r>
        <w:rPr>
          <w:rFonts w:hint="eastAsia" w:ascii="仿宋" w:hAnsi="仿宋" w:eastAsia="仿宋" w:cs="宋体"/>
          <w:b/>
          <w:bCs/>
          <w:color w:val="222222"/>
          <w:kern w:val="0"/>
          <w:sz w:val="32"/>
          <w:szCs w:val="32"/>
        </w:rPr>
        <w:t>四、 用地布局</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（一）空间结构规划</w:t>
      </w:r>
    </w:p>
    <w:p>
      <w:pPr>
        <w:ind w:firstLine="600" w:firstLineChars="200"/>
        <w:rPr>
          <w:rFonts w:ascii="仿宋" w:hAnsi="仿宋" w:eastAsia="仿宋" w:cs="宋体"/>
          <w:color w:val="222222"/>
          <w:kern w:val="0"/>
          <w:sz w:val="30"/>
          <w:szCs w:val="30"/>
        </w:rPr>
      </w:pPr>
      <w:r>
        <w:rPr>
          <w:rFonts w:ascii="仿宋" w:hAnsi="仿宋" w:eastAsia="仿宋" w:cs="宋体"/>
          <w:color w:val="222222"/>
          <w:kern w:val="0"/>
          <w:sz w:val="30"/>
          <w:szCs w:val="30"/>
        </w:rPr>
        <w:drawing>
          <wp:inline distT="0" distB="0" distL="0" distR="0">
            <wp:extent cx="5287010" cy="3732530"/>
            <wp:effectExtent l="0" t="0" r="8890" b="1270"/>
            <wp:docPr id="2" name="图片 2" descr="F:\2017\控规修编\成果\高新互联网信息产业园控规修编成果2020311\成果0430\图集\10-功能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17\控规修编\成果\高新互联网信息产业园控规修编成果2020311\成果0430\图集\10-功能结构规划图.jpg"/>
                    <pic:cNvPicPr>
                      <a:picLocks noChangeAspect="1" noChangeArrowheads="1"/>
                    </pic:cNvPicPr>
                  </pic:nvPicPr>
                  <pic:blipFill>
                    <a:blip r:embed="rId6" cstate="print">
                      <a:extLst>
                        <a:ext uri="{28A0092B-C50C-407E-A947-70E740481C1C}">
                          <a14:useLocalDpi xmlns:a14="http://schemas.microsoft.com/office/drawing/2010/main" val="0"/>
                        </a:ext>
                      </a:extLst>
                    </a:blip>
                    <a:srcRect l="4895" t="5233" r="4983" b="4793"/>
                    <a:stretch>
                      <a:fillRect/>
                    </a:stretch>
                  </pic:blipFill>
                  <pic:spPr>
                    <a:xfrm>
                      <a:off x="0" y="0"/>
                      <a:ext cx="5287010" cy="3732530"/>
                    </a:xfrm>
                    <a:prstGeom prst="rect">
                      <a:avLst/>
                    </a:prstGeom>
                    <a:noFill/>
                    <a:ln>
                      <a:noFill/>
                    </a:ln>
                  </pic:spPr>
                </pic:pic>
              </a:graphicData>
            </a:graphic>
          </wp:inline>
        </w:drawing>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规划园区的空间结构为：“一心、两轴、五片区”。</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1、一心：以高铁站为核心枢纽的商业商务中心。</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 xml:space="preserve">规划打造集交通、文体娱乐、旅游服务、商务办公、零售商业、酒店餐饮于一体的复合高铁功能片区，形成服务吉阳、海棠湾、亚龙湾的城市副中心，完善城市功能，打造城市名片的标志之一。     </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2、两轴：指吉阳大道和田独路，是园区内重要的道路通廊。</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吉阳大道和田独路是整个规划园区的主要道路，通过这两条道路将园区的六个片区有机的串联起来，从而形成一个整体，联动发展。</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吉阳大道和田独路既是道路通廊同时也是园区的景观绿廊，是园区对外形象展示轴，也是对内城市生活服务的交通廊道。因此，两轴应注重公共性功能区和整体景观的打造。</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3、五片区：指信息科技创新区、数字娱乐创新区、电子商务创新区、休闲旅游配套片区、国际生活片区。</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1）信息科技创新区：是以游戏开发、新媒体开发、互联网+、研发服务、设计服务、文化传媒和咨询策划为产业方向，提供孵化基地、创智办公场所，规划有创新创业基地、创意主题商街、创客集市；是汇聚高端智力的创意产业“加速器”，由信息产业、云计算、大数据、物联网、车联网、产品设计、共享经济等功能构成。</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（2）数字娱乐创新区：承载数字娱乐产业办公、研发、展示、交流及文化活动，包含影视传媒、文化娱乐、数字内容、动漫制作、游戏竞技、文化博览、酒店公寓等产业方向的综合性的数字文创产业园。</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（3）电子商务创新区：是面向国际的电子商务、商品体验、线下展销的电子商务贸易综合体。以研发、商务办公为主，跨境电商+旅游出行电商等功能构成。</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4）国际生活片区：为园区提供生活配套服务功能为主，服务于周边产业园及居民的公共服务配套核心。打造沿田独路两侧的城市界面形象，塑造从亚龙湾进入园区的第一印象。以生态住宅、邻里中心、教育医疗、休闲会馆、文化会馆、社区广场等功能构成。</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（5）休闲旅游配套片区：结合周边自然景观，为园区提供休闲漫步空间为主，成为整个园区的后花园，以湿地景观、绿湖公园、亲水空间、漫步游径等功能为主。</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（二）用地布局规划</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区域位于吉阳区东北部，功能上涉及到居住、物流、商贸旅游服务、行政办公、教育以及科研等。利用吉阳大道的轴线地位，结合北部山系和南部大茅河自然景观带，充分考虑山水景观的通视效果，布局带状绿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园区采用灵活的网格状布局形式，以满足大小规模不同的入住单位的要求，并相应采取布局紧凑，同类用地相对集中的结构模式。</w:t>
      </w:r>
    </w:p>
    <w:p>
      <w:pPr>
        <w:ind w:firstLine="600" w:firstLineChars="200"/>
        <w:rPr>
          <w:rFonts w:hint="eastAsia" w:ascii="仿宋" w:hAnsi="仿宋" w:eastAsia="仿宋" w:cs="宋体"/>
          <w:color w:val="222222"/>
          <w:kern w:val="0"/>
          <w:sz w:val="30"/>
          <w:szCs w:val="30"/>
        </w:rPr>
      </w:pPr>
      <w:r>
        <w:rPr>
          <w:rFonts w:hint="eastAsia" w:ascii="仿宋" w:hAnsi="仿宋" w:eastAsia="仿宋" w:cs="宋体"/>
          <w:color w:val="222222"/>
          <w:kern w:val="0"/>
          <w:sz w:val="30"/>
          <w:szCs w:val="30"/>
        </w:rPr>
        <w:t>作为城市门户入口形象区，规划中应充分考虑环境景观，设立主要的景观轴线、景观节点，提高绿地率，增强环境意识。并完善其功能，强调其形象，使规划地块成为创新化、富有活力的的新片区。</w:t>
      </w:r>
    </w:p>
    <w:tbl>
      <w:tblPr>
        <w:tblStyle w:val="3"/>
        <w:tblW w:w="9496" w:type="dxa"/>
        <w:tblInd w:w="93" w:type="dxa"/>
        <w:tblLayout w:type="fixed"/>
        <w:tblCellMar>
          <w:top w:w="0" w:type="dxa"/>
          <w:left w:w="108" w:type="dxa"/>
          <w:bottom w:w="0" w:type="dxa"/>
          <w:right w:w="108" w:type="dxa"/>
        </w:tblCellMar>
      </w:tblPr>
      <w:tblGrid>
        <w:gridCol w:w="640"/>
        <w:gridCol w:w="700"/>
        <w:gridCol w:w="840"/>
        <w:gridCol w:w="2956"/>
        <w:gridCol w:w="2160"/>
        <w:gridCol w:w="2200"/>
      </w:tblGrid>
      <w:tr>
        <w:tblPrEx>
          <w:tblLayout w:type="fixed"/>
          <w:tblCellMar>
            <w:top w:w="0" w:type="dxa"/>
            <w:left w:w="108" w:type="dxa"/>
            <w:bottom w:w="0" w:type="dxa"/>
            <w:right w:w="108" w:type="dxa"/>
          </w:tblCellMar>
        </w:tblPrEx>
        <w:trPr>
          <w:trHeight w:val="405" w:hRule="atLeast"/>
        </w:trPr>
        <w:tc>
          <w:tcPr>
            <w:tcW w:w="949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 w:val="32"/>
                <w:szCs w:val="32"/>
              </w:rPr>
            </w:pPr>
            <w:r>
              <w:rPr>
                <w:rFonts w:hint="eastAsia" w:ascii="黑体" w:hAnsi="黑体" w:eastAsia="黑体" w:cs="宋体"/>
                <w:kern w:val="0"/>
                <w:sz w:val="32"/>
                <w:szCs w:val="32"/>
              </w:rPr>
              <w:t>城市建设用地平衡表</w:t>
            </w:r>
          </w:p>
        </w:tc>
      </w:tr>
      <w:tr>
        <w:tblPrEx>
          <w:tblLayout w:type="fixed"/>
          <w:tblCellMar>
            <w:top w:w="0" w:type="dxa"/>
            <w:left w:w="108" w:type="dxa"/>
            <w:bottom w:w="0" w:type="dxa"/>
            <w:right w:w="108" w:type="dxa"/>
          </w:tblCellMar>
        </w:tblPrEx>
        <w:trPr>
          <w:trHeight w:val="285" w:hRule="atLeast"/>
        </w:trPr>
        <w:tc>
          <w:tcPr>
            <w:tcW w:w="21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用地代码</w:t>
            </w:r>
          </w:p>
        </w:tc>
        <w:tc>
          <w:tcPr>
            <w:tcW w:w="29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用地名称</w:t>
            </w:r>
          </w:p>
        </w:tc>
        <w:tc>
          <w:tcPr>
            <w:tcW w:w="21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用地面积(hm²)</w:t>
            </w:r>
          </w:p>
        </w:tc>
        <w:tc>
          <w:tcPr>
            <w:tcW w:w="22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占城市建设用地比例(%)</w:t>
            </w:r>
          </w:p>
        </w:tc>
      </w:tr>
      <w:tr>
        <w:tblPrEx>
          <w:tblLayout w:type="fixed"/>
          <w:tblCellMar>
            <w:top w:w="0" w:type="dxa"/>
            <w:left w:w="108" w:type="dxa"/>
            <w:bottom w:w="0" w:type="dxa"/>
            <w:right w:w="108" w:type="dxa"/>
          </w:tblCellMar>
        </w:tblPrEx>
        <w:trPr>
          <w:trHeight w:val="285" w:hRule="atLeast"/>
        </w:trPr>
        <w:tc>
          <w:tcPr>
            <w:tcW w:w="640" w:type="dxa"/>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大类</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中类</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小类</w:t>
            </w:r>
          </w:p>
        </w:tc>
        <w:tc>
          <w:tcPr>
            <w:tcW w:w="29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1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2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R</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居住用地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48.81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14.13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R2</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二类居住用地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48.81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14.13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R22</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服务设施用地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1.17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0.34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公共管理与公共服务设施用地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38.27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11.08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行政办公用地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1.66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0.48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A2</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文化设施用地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0.16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A21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图书展览用地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0.16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A3</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教育科研用地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27.33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7.91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A33</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中小学用地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6.92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A35</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科研用地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20.41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5.91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A5</w:t>
            </w:r>
          </w:p>
        </w:tc>
        <w:tc>
          <w:tcPr>
            <w:tcW w:w="8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医疗卫生用地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8.74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A52</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卫生防疫用地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2.12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0.61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商业服务业设施用地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114.16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33.06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商业用地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41.98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12.16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B11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零售商业用地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23.69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B13</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餐饮用地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0.20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0.06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B14</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旅馆用地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18.09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5.24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B2</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商务用地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68.10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19.72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B21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金融保险用地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1.55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0.45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B29</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其他商务用地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66.55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19.27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B3</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娱乐康体用地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2.14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0.62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B31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娱乐用地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2.14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0.62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B4</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公用设施营业网点用地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1.94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0.56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B41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加油加气站用地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1.94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0.56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工业用地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0.68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0.20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M1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一类工业用地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0.68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0.20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物流仓储用地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5.12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1.48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W1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一类物流仓储用地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5.12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1.48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S</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道路与交通设施用地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62.58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18.12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S1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城市道路用地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57.68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16.70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S3</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交通枢纽用地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2.87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0.83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S4</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交通场站用地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2.03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0.59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S42</w:t>
            </w:r>
          </w:p>
        </w:tc>
        <w:tc>
          <w:tcPr>
            <w:tcW w:w="29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社会停车场用地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2.03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0.59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公用设施用地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8.38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供应设施用地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0.94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U12</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供电用地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0.31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0.09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U13</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供燃气用地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0.35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0.10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U15</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通信用地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1.04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0.30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U2</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环境设施用地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4.61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U21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排水用地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4.25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1.23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U22</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环卫用地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0.36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0.10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U3</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安全设施用地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0.52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0.15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U31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消防用地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0.52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0.15 </w:t>
            </w:r>
          </w:p>
        </w:tc>
      </w:tr>
      <w:tr>
        <w:tblPrEx>
          <w:tblLayout w:type="fixed"/>
          <w:tblCellMar>
            <w:top w:w="0" w:type="dxa"/>
            <w:left w:w="108" w:type="dxa"/>
            <w:bottom w:w="0" w:type="dxa"/>
            <w:right w:w="108" w:type="dxa"/>
          </w:tblCellMar>
        </w:tblPrEx>
        <w:trPr>
          <w:trHeight w:val="285" w:hRule="atLeast"/>
        </w:trPr>
        <w:tc>
          <w:tcPr>
            <w:tcW w:w="640"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G</w:t>
            </w: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绿地与广场用地</w:t>
            </w:r>
          </w:p>
        </w:tc>
        <w:tc>
          <w:tcPr>
            <w:tcW w:w="2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67.35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19.50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G1</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公园绿地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57.65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16.69 </w:t>
            </w:r>
          </w:p>
        </w:tc>
      </w:tr>
      <w:tr>
        <w:tblPrEx>
          <w:tblLayout w:type="fixed"/>
          <w:tblCellMar>
            <w:top w:w="0" w:type="dxa"/>
            <w:left w:w="108" w:type="dxa"/>
            <w:bottom w:w="0" w:type="dxa"/>
            <w:right w:w="108" w:type="dxa"/>
          </w:tblCellMar>
        </w:tblPrEx>
        <w:trPr>
          <w:trHeight w:val="285" w:hRule="atLeast"/>
        </w:trPr>
        <w:tc>
          <w:tcPr>
            <w:tcW w:w="6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7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G2</w:t>
            </w:r>
          </w:p>
        </w:tc>
        <w:tc>
          <w:tcPr>
            <w:tcW w:w="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防护绿地</w:t>
            </w:r>
          </w:p>
        </w:tc>
        <w:tc>
          <w:tcPr>
            <w:tcW w:w="216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9.70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2.81 </w:t>
            </w:r>
          </w:p>
        </w:tc>
      </w:tr>
      <w:tr>
        <w:tblPrEx>
          <w:tblLayout w:type="fixed"/>
          <w:tblCellMar>
            <w:top w:w="0" w:type="dxa"/>
            <w:left w:w="108" w:type="dxa"/>
            <w:bottom w:w="0" w:type="dxa"/>
            <w:right w:w="108" w:type="dxa"/>
          </w:tblCellMar>
        </w:tblPrEx>
        <w:trPr>
          <w:trHeight w:val="285" w:hRule="atLeast"/>
        </w:trPr>
        <w:tc>
          <w:tcPr>
            <w:tcW w:w="218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H11</w:t>
            </w:r>
          </w:p>
        </w:tc>
        <w:tc>
          <w:tcPr>
            <w:tcW w:w="29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城市建设用地</w:t>
            </w:r>
          </w:p>
        </w:tc>
        <w:tc>
          <w:tcPr>
            <w:tcW w:w="21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345.35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100.00 </w:t>
            </w:r>
          </w:p>
        </w:tc>
      </w:tr>
    </w:tbl>
    <w:p>
      <w:pPr>
        <w:ind w:firstLine="600" w:firstLineChars="200"/>
        <w:rPr>
          <w:rFonts w:ascii="仿宋" w:hAnsi="仿宋" w:eastAsia="仿宋" w:cs="宋体"/>
          <w:color w:val="222222"/>
          <w:kern w:val="0"/>
          <w:sz w:val="30"/>
          <w:szCs w:val="30"/>
        </w:rPr>
      </w:pPr>
      <w:r>
        <w:rPr>
          <w:rFonts w:ascii="仿宋" w:hAnsi="仿宋" w:eastAsia="仿宋" w:cs="宋体"/>
          <w:color w:val="222222"/>
          <w:kern w:val="0"/>
          <w:sz w:val="30"/>
          <w:szCs w:val="30"/>
        </w:rPr>
        <w:br w:type="textWrapping" w:clear="all"/>
      </w:r>
      <w:r>
        <w:rPr>
          <w:rFonts w:ascii="仿宋" w:hAnsi="仿宋" w:eastAsia="仿宋" w:cs="宋体"/>
          <w:color w:val="222222"/>
          <w:kern w:val="0"/>
          <w:sz w:val="30"/>
          <w:szCs w:val="30"/>
        </w:rPr>
        <w:drawing>
          <wp:inline distT="0" distB="0" distL="0" distR="0">
            <wp:extent cx="5690870" cy="4003040"/>
            <wp:effectExtent l="0" t="0" r="5080" b="0"/>
            <wp:docPr id="3" name="图片 3" descr="F:\2017\控规修编\成果\高新互联网信息产业园控规修编成果2020311\成果0430\规划用地布局图A1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017\控规修编\成果\高新互联网信息产业园控规修编成果2020311\成果0430\规划用地布局图A1版.jpg"/>
                    <pic:cNvPicPr>
                      <a:picLocks noChangeAspect="1" noChangeArrowheads="1"/>
                    </pic:cNvPicPr>
                  </pic:nvPicPr>
                  <pic:blipFill>
                    <a:blip r:embed="rId7" cstate="print">
                      <a:extLst>
                        <a:ext uri="{28A0092B-C50C-407E-A947-70E740481C1C}">
                          <a14:useLocalDpi xmlns:a14="http://schemas.microsoft.com/office/drawing/2010/main" val="0"/>
                        </a:ext>
                      </a:extLst>
                    </a:blip>
                    <a:srcRect l="5432" t="5494" r="5599" b="5861"/>
                    <a:stretch>
                      <a:fillRect/>
                    </a:stretch>
                  </pic:blipFill>
                  <pic:spPr>
                    <a:xfrm>
                      <a:off x="0" y="0"/>
                      <a:ext cx="5691116" cy="4003633"/>
                    </a:xfrm>
                    <a:prstGeom prst="rect">
                      <a:avLst/>
                    </a:prstGeom>
                    <a:noFill/>
                    <a:ln>
                      <a:noFill/>
                    </a:ln>
                  </pic:spPr>
                </pic:pic>
              </a:graphicData>
            </a:graphic>
          </wp:inline>
        </w:drawing>
      </w:r>
    </w:p>
    <w:p>
      <w:pPr>
        <w:ind w:firstLine="602" w:firstLineChars="200"/>
        <w:rPr>
          <w:rFonts w:ascii="仿宋" w:hAnsi="仿宋" w:eastAsia="仿宋" w:cs="宋体"/>
          <w:b/>
          <w:color w:val="222222"/>
          <w:kern w:val="0"/>
          <w:sz w:val="30"/>
          <w:szCs w:val="30"/>
        </w:rPr>
      </w:pPr>
      <w:r>
        <w:rPr>
          <w:rFonts w:hint="eastAsia" w:ascii="仿宋" w:hAnsi="仿宋" w:eastAsia="仿宋" w:cs="宋体"/>
          <w:b/>
          <w:color w:val="222222"/>
          <w:kern w:val="0"/>
          <w:sz w:val="30"/>
          <w:szCs w:val="30"/>
        </w:rPr>
        <w:t>居住用地规划</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规划居住用地主要集中在规划区的东北部、中部以及现状水库周边。规划居住总用地面积48.81公顷，占规划区建设用地的14.13%。</w:t>
      </w:r>
    </w:p>
    <w:p>
      <w:pPr>
        <w:ind w:firstLine="602" w:firstLineChars="200"/>
        <w:rPr>
          <w:rFonts w:ascii="仿宋" w:hAnsi="仿宋" w:eastAsia="仿宋" w:cs="宋体"/>
          <w:b/>
          <w:color w:val="222222"/>
          <w:kern w:val="0"/>
          <w:sz w:val="30"/>
          <w:szCs w:val="30"/>
        </w:rPr>
      </w:pPr>
      <w:r>
        <w:rPr>
          <w:rFonts w:hint="eastAsia" w:ascii="仿宋" w:hAnsi="仿宋" w:eastAsia="仿宋" w:cs="宋体"/>
          <w:b/>
          <w:color w:val="222222"/>
          <w:kern w:val="0"/>
          <w:sz w:val="30"/>
          <w:szCs w:val="30"/>
        </w:rPr>
        <w:t>公共管理与公共服务设施用地规划</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规划公共管理与公共服务设施用地38.27公顷，占城市建设用地的11.08%。包括行政办公用地、图书展览设施用地、中小学用地、特殊教育用地、科研用地、卫生防疫用地等用地。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商业服务业设施用地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主要集中在吉阳大道两侧以及规划区中部田独大道北段，商业服务业设施用地114.16公顷，占城市建设用地的33.06%，包括零售商业用地、餐饮用地、旅馆用地、金融保险用地、其他商务用地、娱乐用地、加油加气站用地等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工业用地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规划一类工业用地0.68公顷，占城市建设用地的0.20%。规划布置在高新路与中海路交叉口西南侧A4-07地块。</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物流仓储用地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规划一类物流仓储用地5.12公顷，占城市建设用地的1.48。主要集中在吉阳大道东侧高铁线北侧，C10-02、C11-01地块。</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道路与交通设施用地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规划道路与交通设施用地62.58公顷，占城市建设用地的18.12%。</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公用设施用地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规划公用设施用地8.38公顷，占城市建设用地的2.43%。规划公用设施用地供电用地、供燃气用地、通信设施用地、排水设施用地、环卫设施用地及消防设施用地。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绿地与广场用地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规划绿地与广场用地67.35公顷，占城市建设用地的19.50%。规划绿地与广场用地包含公园绿地和防护绿地。</w:t>
      </w:r>
    </w:p>
    <w:p>
      <w:pPr>
        <w:ind w:firstLine="643" w:firstLineChars="200"/>
        <w:rPr>
          <w:rFonts w:ascii="仿宋" w:hAnsi="仿宋" w:eastAsia="仿宋" w:cs="宋体"/>
          <w:b/>
          <w:bCs/>
          <w:color w:val="222222"/>
          <w:kern w:val="0"/>
          <w:sz w:val="32"/>
          <w:szCs w:val="32"/>
        </w:rPr>
      </w:pPr>
      <w:r>
        <w:rPr>
          <w:rFonts w:hint="eastAsia" w:ascii="仿宋" w:hAnsi="仿宋" w:eastAsia="仿宋" w:cs="宋体"/>
          <w:b/>
          <w:bCs/>
          <w:color w:val="222222"/>
          <w:kern w:val="0"/>
          <w:sz w:val="32"/>
          <w:szCs w:val="32"/>
        </w:rPr>
        <w:t>五、 公共服务设施布局</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规划对《三亚市城市总体规划(2011—2020年）》中的公共服务设施予以落实，综合考虑差别配置标准，分级、分层次布局公共服务设施。</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公共服务设施的建设，应首先配套建设需求最为迫切的设施，如超市，居民健身设施、小型运动场地、娱乐城、俱乐部、保健、体育场馆、音乐茶座、网吧、棋牌室等设施，以丰富园区居民的日常生活，之后逐步构建系统完善的公共服务设施体系。</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产业的发展势必要引进高技能人才，此类人才的收入和素质都较高，时机成熟的时候建议配套为此类人提供服务的公共服务设施，如剧院、文化会馆等文化娱乐设施，并引进大型购物中心、专业大卖场、特色商业街、现代生活广场、便利连锁、综合商务中心等不同定位的新兴商业业态。</w:t>
      </w:r>
    </w:p>
    <w:p>
      <w:pPr>
        <w:ind w:firstLine="600" w:firstLineChars="200"/>
        <w:jc w:val="left"/>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规划公共服务设施总用地面积38.27公顷，占城市建设用地的11.08%。</w:t>
      </w:r>
      <w:r>
        <w:rPr>
          <w:rFonts w:ascii="仿宋" w:hAnsi="仿宋" w:eastAsia="仿宋" w:cs="宋体"/>
          <w:color w:val="222222"/>
          <w:kern w:val="0"/>
          <w:sz w:val="30"/>
          <w:szCs w:val="30"/>
        </w:rPr>
        <w:drawing>
          <wp:inline distT="0" distB="0" distL="0" distR="0">
            <wp:extent cx="4707890" cy="3275330"/>
            <wp:effectExtent l="0" t="0" r="0" b="1270"/>
            <wp:docPr id="4" name="图片 4" descr="F:\2017\控规修编\成果\高新互联网信息产业园控规修编成果2020311\成果0430\图集\13公共服务设施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017\控规修编\成果\高新互联网信息产业园控规修编成果2020311\成果0430\图集\13公共服务设施图.jpg"/>
                    <pic:cNvPicPr>
                      <a:picLocks noChangeAspect="1" noChangeArrowheads="1"/>
                    </pic:cNvPicPr>
                  </pic:nvPicPr>
                  <pic:blipFill>
                    <a:blip r:embed="rId8" cstate="print">
                      <a:extLst>
                        <a:ext uri="{28A0092B-C50C-407E-A947-70E740481C1C}">
                          <a14:useLocalDpi xmlns:a14="http://schemas.microsoft.com/office/drawing/2010/main" val="0"/>
                        </a:ext>
                      </a:extLst>
                    </a:blip>
                    <a:srcRect l="5436" t="6226" r="5257" b="5861"/>
                    <a:stretch>
                      <a:fillRect/>
                    </a:stretch>
                  </pic:blipFill>
                  <pic:spPr>
                    <a:xfrm>
                      <a:off x="0" y="0"/>
                      <a:ext cx="4710296" cy="3276728"/>
                    </a:xfrm>
                    <a:prstGeom prst="rect">
                      <a:avLst/>
                    </a:prstGeom>
                    <a:noFill/>
                    <a:ln>
                      <a:noFill/>
                    </a:ln>
                  </pic:spPr>
                </pic:pic>
              </a:graphicData>
            </a:graphic>
          </wp:inline>
        </w:drawing>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1、行政办公用地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规划在规划区南部、田独路与工业南路交叉东北侧新增2处行政办公用地，分别位于A4-01、C7-08地块，用地面积为1.66公顷，占城市建设用地的0.48%。</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2、文化设施用地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规划在田独路与工业南路交叉东北侧新增一处文化设施用地，位于C7-08地块，用地面积为0.55公顷，占城市建设用地的0.16%。</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3、科研用地：在规划区电子商务创新区、信息科技创新区布置科研用地，分别位于C7-03、C8-01、D2-02、D3-01、B10-01、B10-03、B10-04、C2-02、C5-01地块，用地面积为27.33公顷，占城市建设用地的7.91%。</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4、医疗卫生用地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规划3处医疗卫生用地，总用地面积8.74公顷，占城市建设用地的2.53%，分别位于B6-01地块、C3-03地块、B6-03地块和C13-01地块。</w:t>
      </w:r>
    </w:p>
    <w:p>
      <w:pPr>
        <w:ind w:firstLine="643" w:firstLineChars="200"/>
        <w:rPr>
          <w:rFonts w:ascii="仿宋" w:hAnsi="仿宋" w:eastAsia="仿宋" w:cs="宋体"/>
          <w:b/>
          <w:bCs/>
          <w:color w:val="222222"/>
          <w:kern w:val="0"/>
          <w:sz w:val="32"/>
          <w:szCs w:val="32"/>
        </w:rPr>
      </w:pPr>
      <w:r>
        <w:rPr>
          <w:rFonts w:hint="eastAsia" w:ascii="仿宋" w:hAnsi="仿宋" w:eastAsia="仿宋" w:cs="宋体"/>
          <w:b/>
          <w:bCs/>
          <w:color w:val="222222"/>
          <w:kern w:val="0"/>
          <w:sz w:val="32"/>
          <w:szCs w:val="32"/>
        </w:rPr>
        <w:t>六、</w:t>
      </w:r>
      <w:r>
        <w:rPr>
          <w:rFonts w:ascii="仿宋" w:hAnsi="仿宋" w:eastAsia="仿宋" w:cs="宋体"/>
          <w:b/>
          <w:bCs/>
          <w:color w:val="222222"/>
          <w:kern w:val="0"/>
          <w:sz w:val="32"/>
          <w:szCs w:val="32"/>
        </w:rPr>
        <w:t xml:space="preserve"> </w:t>
      </w:r>
      <w:r>
        <w:rPr>
          <w:rFonts w:hint="eastAsia" w:ascii="仿宋" w:hAnsi="仿宋" w:eastAsia="仿宋" w:cs="宋体"/>
          <w:b/>
          <w:bCs/>
          <w:color w:val="222222"/>
          <w:kern w:val="0"/>
          <w:sz w:val="32"/>
          <w:szCs w:val="32"/>
        </w:rPr>
        <w:t>土地使用强度控制</w:t>
      </w:r>
    </w:p>
    <w:p>
      <w:pPr>
        <w:widowControl/>
        <w:shd w:val="clear" w:color="auto" w:fill="FFFFFF"/>
        <w:spacing w:line="480" w:lineRule="auto"/>
        <w:ind w:left="851" w:hanging="851"/>
        <w:jc w:val="left"/>
        <w:rPr>
          <w:rFonts w:ascii="等线" w:hAnsi="等线" w:eastAsia="等线" w:cs="宋体"/>
          <w:color w:val="222222"/>
          <w:kern w:val="0"/>
          <w:szCs w:val="21"/>
        </w:rPr>
      </w:pPr>
      <w:r>
        <w:rPr>
          <w:rFonts w:hint="eastAsia" w:ascii="仿宋" w:hAnsi="仿宋" w:eastAsia="仿宋" w:cs="宋体"/>
          <w:b/>
          <w:bCs/>
          <w:color w:val="000000"/>
          <w:kern w:val="0"/>
          <w:sz w:val="28"/>
          <w:szCs w:val="28"/>
        </w:rPr>
        <w:t>（一）</w:t>
      </w:r>
      <w:r>
        <w:rPr>
          <w:rFonts w:ascii="Times New Roman" w:hAnsi="Times New Roman" w:eastAsia="仿宋" w:cs="Times New Roman"/>
          <w:b/>
          <w:bCs/>
          <w:color w:val="000000"/>
          <w:kern w:val="0"/>
          <w:sz w:val="14"/>
          <w:szCs w:val="14"/>
        </w:rPr>
        <w:t xml:space="preserve">    </w:t>
      </w:r>
      <w:r>
        <w:rPr>
          <w:rFonts w:hint="eastAsia" w:ascii="仿宋" w:hAnsi="仿宋" w:eastAsia="仿宋" w:cs="宋体"/>
          <w:b/>
          <w:bCs/>
          <w:color w:val="000000"/>
          <w:kern w:val="0"/>
          <w:sz w:val="28"/>
          <w:szCs w:val="28"/>
        </w:rPr>
        <w:t>建筑高度控制</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rPr>
        <w:t>地块建筑高度控制与用地性质和开发强度相匹配，考虑到城市空间形态塑造和自然景观保护的城市设计要求，本次规划中高度控制采用上限控制方式，使规划区内能够形成一个与周边自然景观相契合，整体有序的空间形态。规划将高度控制划分为</w:t>
      </w:r>
      <w:r>
        <w:rPr>
          <w:rFonts w:hint="eastAsia" w:ascii="仿宋" w:hAnsi="仿宋" w:eastAsia="仿宋" w:cs="宋体"/>
          <w:color w:val="000000"/>
          <w:kern w:val="0"/>
          <w:sz w:val="30"/>
          <w:szCs w:val="30"/>
          <w:lang w:val="en-US" w:eastAsia="zh-CN"/>
        </w:rPr>
        <w:t>6</w:t>
      </w:r>
      <w:r>
        <w:rPr>
          <w:rFonts w:hint="eastAsia" w:ascii="仿宋" w:hAnsi="仿宋" w:eastAsia="仿宋" w:cs="宋体"/>
          <w:color w:val="000000"/>
          <w:kern w:val="0"/>
          <w:sz w:val="30"/>
          <w:szCs w:val="30"/>
        </w:rPr>
        <w:t>个等级，分别为小于等于12米，12米至</w:t>
      </w:r>
      <w:r>
        <w:rPr>
          <w:rFonts w:hint="eastAsia" w:ascii="仿宋" w:hAnsi="仿宋" w:eastAsia="仿宋" w:cs="宋体"/>
          <w:color w:val="000000"/>
          <w:kern w:val="0"/>
          <w:sz w:val="30"/>
          <w:szCs w:val="30"/>
          <w:lang w:val="en-US" w:eastAsia="zh-CN"/>
        </w:rPr>
        <w:t>30</w:t>
      </w:r>
      <w:r>
        <w:rPr>
          <w:rFonts w:hint="eastAsia" w:ascii="仿宋" w:hAnsi="仿宋" w:eastAsia="仿宋" w:cs="宋体"/>
          <w:color w:val="000000"/>
          <w:kern w:val="0"/>
          <w:sz w:val="30"/>
          <w:szCs w:val="30"/>
        </w:rPr>
        <w:t>米，30米至45米，45米至60米，60米至80米，大于80米。</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rPr>
        <w:t>1.小于等于12米</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rPr>
        <w:t>该类高度主要分布在规划区商业用地、基础设施用地，该限高地块建筑均为低层建筑，作为高度控制分区最低的一个类型。</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rPr>
        <w:t>2.12米至</w:t>
      </w:r>
      <w:r>
        <w:rPr>
          <w:rFonts w:hint="eastAsia" w:ascii="仿宋" w:hAnsi="仿宋" w:eastAsia="仿宋" w:cs="宋体"/>
          <w:color w:val="000000"/>
          <w:kern w:val="0"/>
          <w:sz w:val="30"/>
          <w:szCs w:val="30"/>
          <w:lang w:val="en-US" w:eastAsia="zh-CN"/>
        </w:rPr>
        <w:t>30</w:t>
      </w:r>
      <w:r>
        <w:rPr>
          <w:rFonts w:hint="eastAsia" w:ascii="仿宋" w:hAnsi="仿宋" w:eastAsia="仿宋" w:cs="宋体"/>
          <w:color w:val="000000"/>
          <w:kern w:val="0"/>
          <w:sz w:val="30"/>
          <w:szCs w:val="30"/>
        </w:rPr>
        <w:t>米</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rPr>
        <w:t>该类高度控制等级的地块主要为生态敏感区域和景观廊道区域，建筑层数为多层控制。</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lang w:val="en-US" w:eastAsia="zh-CN"/>
        </w:rPr>
        <w:t>3</w:t>
      </w:r>
      <w:r>
        <w:rPr>
          <w:rFonts w:hint="eastAsia" w:ascii="仿宋" w:hAnsi="仿宋" w:eastAsia="仿宋" w:cs="宋体"/>
          <w:color w:val="000000"/>
          <w:kern w:val="0"/>
          <w:sz w:val="30"/>
          <w:szCs w:val="30"/>
        </w:rPr>
        <w:t>.30米至45米</w:t>
      </w:r>
    </w:p>
    <w:p>
      <w:pPr>
        <w:widowControl/>
        <w:shd w:val="clear" w:color="auto" w:fill="FFFFFF"/>
        <w:spacing w:line="520" w:lineRule="atLeast"/>
        <w:ind w:firstLine="567"/>
        <w:rPr>
          <w:rFonts w:ascii="仿宋" w:hAnsi="仿宋" w:eastAsia="仿宋" w:cs="宋体"/>
          <w:color w:val="000000"/>
          <w:kern w:val="0"/>
          <w:sz w:val="30"/>
          <w:szCs w:val="30"/>
        </w:rPr>
      </w:pPr>
      <w:r>
        <w:rPr>
          <w:rFonts w:hint="eastAsia" w:ascii="仿宋" w:hAnsi="仿宋" w:eastAsia="仿宋" w:cs="宋体"/>
          <w:color w:val="000000"/>
          <w:kern w:val="0"/>
          <w:sz w:val="30"/>
          <w:szCs w:val="30"/>
        </w:rPr>
        <w:t>该类高度控制区为规划区中心位置地块，作为规划区的居住建筑和公共服务建筑，</w:t>
      </w:r>
      <w:r>
        <w:rPr>
          <w:rFonts w:hint="eastAsia" w:ascii="仿宋" w:hAnsi="仿宋" w:eastAsia="仿宋" w:cs="宋体"/>
          <w:color w:val="000000"/>
          <w:kern w:val="0"/>
          <w:sz w:val="30"/>
          <w:szCs w:val="30"/>
          <w:lang w:eastAsia="zh-CN"/>
        </w:rPr>
        <w:t>主要</w:t>
      </w:r>
      <w:r>
        <w:rPr>
          <w:rFonts w:hint="eastAsia" w:ascii="仿宋" w:hAnsi="仿宋" w:eastAsia="仿宋" w:cs="宋体"/>
          <w:color w:val="000000"/>
          <w:kern w:val="0"/>
          <w:sz w:val="30"/>
          <w:szCs w:val="30"/>
        </w:rPr>
        <w:t>为小高层。</w:t>
      </w:r>
    </w:p>
    <w:p>
      <w:pPr>
        <w:widowControl/>
        <w:shd w:val="clear" w:color="auto" w:fill="FFFFFF"/>
        <w:spacing w:line="520" w:lineRule="atLeast"/>
        <w:ind w:firstLine="567"/>
        <w:rPr>
          <w:rFonts w:ascii="仿宋" w:hAnsi="仿宋" w:eastAsia="仿宋" w:cs="宋体"/>
          <w:color w:val="000000"/>
          <w:kern w:val="0"/>
          <w:sz w:val="30"/>
          <w:szCs w:val="30"/>
        </w:rPr>
      </w:pPr>
      <w:r>
        <w:rPr>
          <w:rFonts w:hint="eastAsia" w:ascii="仿宋" w:hAnsi="仿宋" w:eastAsia="仿宋" w:cs="宋体"/>
          <w:color w:val="000000"/>
          <w:kern w:val="0"/>
          <w:sz w:val="30"/>
          <w:szCs w:val="30"/>
          <w:lang w:val="en-US" w:eastAsia="zh-CN"/>
        </w:rPr>
        <w:t>4</w:t>
      </w:r>
      <w:r>
        <w:rPr>
          <w:rFonts w:hint="eastAsia" w:ascii="仿宋" w:hAnsi="仿宋" w:eastAsia="仿宋" w:cs="宋体"/>
          <w:color w:val="000000"/>
          <w:kern w:val="0"/>
          <w:sz w:val="30"/>
          <w:szCs w:val="30"/>
        </w:rPr>
        <w:t>.45米至60米</w:t>
      </w:r>
    </w:p>
    <w:p>
      <w:pPr>
        <w:widowControl/>
        <w:shd w:val="clear" w:color="auto" w:fill="FFFFFF"/>
        <w:spacing w:line="520" w:lineRule="atLeast"/>
        <w:ind w:firstLine="567"/>
        <w:rPr>
          <w:rFonts w:ascii="仿宋" w:hAnsi="仿宋" w:eastAsia="仿宋" w:cs="宋体"/>
          <w:color w:val="000000"/>
          <w:kern w:val="0"/>
          <w:sz w:val="30"/>
          <w:szCs w:val="30"/>
        </w:rPr>
      </w:pPr>
      <w:r>
        <w:rPr>
          <w:rFonts w:hint="eastAsia" w:ascii="仿宋" w:hAnsi="仿宋" w:eastAsia="仿宋" w:cs="宋体"/>
          <w:color w:val="000000"/>
          <w:kern w:val="0"/>
          <w:sz w:val="30"/>
          <w:szCs w:val="30"/>
        </w:rPr>
        <w:t>该类高度为规划区中心位置地块，作为规划区的其他商务设施建筑，</w:t>
      </w:r>
      <w:r>
        <w:rPr>
          <w:rFonts w:hint="eastAsia" w:ascii="仿宋" w:hAnsi="仿宋" w:eastAsia="仿宋" w:cs="宋体"/>
          <w:color w:val="000000"/>
          <w:kern w:val="0"/>
          <w:sz w:val="30"/>
          <w:szCs w:val="30"/>
          <w:lang w:eastAsia="zh-CN"/>
        </w:rPr>
        <w:t>主要</w:t>
      </w:r>
      <w:r>
        <w:rPr>
          <w:rFonts w:hint="eastAsia" w:ascii="仿宋" w:hAnsi="仿宋" w:eastAsia="仿宋" w:cs="宋体"/>
          <w:color w:val="000000"/>
          <w:kern w:val="0"/>
          <w:sz w:val="30"/>
          <w:szCs w:val="30"/>
        </w:rPr>
        <w:t>为中高层。</w:t>
      </w:r>
    </w:p>
    <w:p>
      <w:pPr>
        <w:widowControl/>
        <w:shd w:val="clear" w:color="auto" w:fill="FFFFFF"/>
        <w:spacing w:line="520" w:lineRule="atLeast"/>
        <w:ind w:firstLine="567"/>
        <w:rPr>
          <w:rFonts w:ascii="仿宋" w:hAnsi="仿宋" w:eastAsia="仿宋" w:cs="宋体"/>
          <w:color w:val="000000"/>
          <w:kern w:val="0"/>
          <w:sz w:val="30"/>
          <w:szCs w:val="30"/>
        </w:rPr>
      </w:pPr>
      <w:r>
        <w:rPr>
          <w:rFonts w:hint="eastAsia" w:ascii="仿宋" w:hAnsi="仿宋" w:eastAsia="仿宋" w:cs="宋体"/>
          <w:color w:val="000000"/>
          <w:kern w:val="0"/>
          <w:sz w:val="30"/>
          <w:szCs w:val="30"/>
          <w:lang w:val="en-US" w:eastAsia="zh-CN"/>
        </w:rPr>
        <w:t>5</w:t>
      </w:r>
      <w:r>
        <w:rPr>
          <w:rFonts w:hint="eastAsia" w:ascii="仿宋" w:hAnsi="仿宋" w:eastAsia="仿宋" w:cs="宋体"/>
          <w:color w:val="000000"/>
          <w:kern w:val="0"/>
          <w:sz w:val="30"/>
          <w:szCs w:val="30"/>
        </w:rPr>
        <w:t>.60米至80米</w:t>
      </w:r>
    </w:p>
    <w:p>
      <w:pPr>
        <w:widowControl/>
        <w:shd w:val="clear" w:color="auto" w:fill="FFFFFF"/>
        <w:spacing w:line="520" w:lineRule="atLeast"/>
        <w:ind w:firstLine="567"/>
        <w:rPr>
          <w:rFonts w:hint="eastAsia" w:ascii="等线" w:hAnsi="等线" w:eastAsia="仿宋" w:cs="宋体"/>
          <w:color w:val="222222"/>
          <w:kern w:val="0"/>
          <w:szCs w:val="21"/>
          <w:lang w:eastAsia="zh-CN"/>
        </w:rPr>
      </w:pPr>
      <w:r>
        <w:rPr>
          <w:rFonts w:hint="eastAsia" w:ascii="仿宋" w:hAnsi="仿宋" w:eastAsia="仿宋" w:cs="宋体"/>
          <w:color w:val="000000"/>
          <w:kern w:val="0"/>
          <w:sz w:val="30"/>
          <w:szCs w:val="30"/>
        </w:rPr>
        <w:t>该类高度为规划区中心位置地块，作为规划区的其他商务设施建筑，</w:t>
      </w:r>
      <w:r>
        <w:rPr>
          <w:rFonts w:hint="eastAsia" w:ascii="仿宋" w:hAnsi="仿宋" w:eastAsia="仿宋" w:cs="宋体"/>
          <w:color w:val="000000"/>
          <w:kern w:val="0"/>
          <w:sz w:val="30"/>
          <w:szCs w:val="30"/>
          <w:lang w:eastAsia="zh-CN"/>
        </w:rPr>
        <w:t>主要</w:t>
      </w:r>
      <w:r>
        <w:rPr>
          <w:rFonts w:hint="eastAsia" w:ascii="仿宋" w:hAnsi="仿宋" w:eastAsia="仿宋" w:cs="宋体"/>
          <w:color w:val="000000"/>
          <w:kern w:val="0"/>
          <w:sz w:val="30"/>
          <w:szCs w:val="30"/>
        </w:rPr>
        <w:t>为高层</w:t>
      </w:r>
      <w:r>
        <w:rPr>
          <w:rFonts w:hint="eastAsia" w:ascii="仿宋" w:hAnsi="仿宋" w:eastAsia="仿宋" w:cs="宋体"/>
          <w:color w:val="000000"/>
          <w:kern w:val="0"/>
          <w:sz w:val="30"/>
          <w:szCs w:val="30"/>
          <w:lang w:eastAsia="zh-CN"/>
        </w:rPr>
        <w:t>。</w:t>
      </w:r>
    </w:p>
    <w:p>
      <w:pPr>
        <w:widowControl/>
        <w:shd w:val="clear" w:color="auto" w:fill="FFFFFF"/>
        <w:spacing w:line="520" w:lineRule="atLeast"/>
        <w:ind w:firstLine="567"/>
        <w:rPr>
          <w:rFonts w:ascii="仿宋" w:hAnsi="仿宋" w:eastAsia="仿宋" w:cs="宋体"/>
          <w:color w:val="000000"/>
          <w:kern w:val="0"/>
          <w:sz w:val="30"/>
          <w:szCs w:val="30"/>
        </w:rPr>
      </w:pPr>
      <w:r>
        <w:rPr>
          <w:rFonts w:hint="eastAsia" w:ascii="仿宋" w:hAnsi="仿宋" w:eastAsia="仿宋" w:cs="宋体"/>
          <w:color w:val="000000"/>
          <w:kern w:val="0"/>
          <w:sz w:val="30"/>
          <w:szCs w:val="30"/>
          <w:lang w:val="en-US" w:eastAsia="zh-CN"/>
        </w:rPr>
        <w:t>6</w:t>
      </w:r>
      <w:r>
        <w:rPr>
          <w:rFonts w:hint="eastAsia" w:ascii="仿宋" w:hAnsi="仿宋" w:eastAsia="仿宋" w:cs="宋体"/>
          <w:color w:val="000000"/>
          <w:kern w:val="0"/>
          <w:sz w:val="30"/>
          <w:szCs w:val="30"/>
        </w:rPr>
        <w:t>.80米以上</w:t>
      </w:r>
    </w:p>
    <w:p>
      <w:pPr>
        <w:widowControl/>
        <w:shd w:val="clear" w:color="auto" w:fill="FFFFFF"/>
        <w:spacing w:line="520" w:lineRule="atLeast"/>
        <w:ind w:firstLine="567"/>
        <w:rPr>
          <w:rFonts w:ascii="等线" w:hAnsi="等线" w:eastAsia="等线" w:cs="宋体"/>
          <w:color w:val="222222"/>
          <w:kern w:val="0"/>
          <w:szCs w:val="21"/>
        </w:rPr>
      </w:pPr>
      <w:r>
        <w:rPr>
          <w:rFonts w:hint="eastAsia" w:ascii="仿宋" w:hAnsi="仿宋" w:eastAsia="仿宋" w:cs="宋体"/>
          <w:color w:val="000000"/>
          <w:kern w:val="0"/>
          <w:sz w:val="30"/>
          <w:szCs w:val="30"/>
          <w:lang w:eastAsia="zh-CN"/>
        </w:rPr>
        <w:t>该</w:t>
      </w:r>
      <w:r>
        <w:rPr>
          <w:rFonts w:hint="eastAsia" w:ascii="仿宋" w:hAnsi="仿宋" w:eastAsia="仿宋" w:cs="宋体"/>
          <w:color w:val="000000"/>
          <w:kern w:val="0"/>
          <w:sz w:val="30"/>
          <w:szCs w:val="30"/>
        </w:rPr>
        <w:t>类高度为规划区现状建成地块，也是规划</w:t>
      </w:r>
      <w:r>
        <w:rPr>
          <w:rFonts w:hint="eastAsia" w:ascii="仿宋" w:hAnsi="仿宋" w:eastAsia="仿宋" w:cs="宋体"/>
          <w:color w:val="000000"/>
          <w:kern w:val="0"/>
          <w:sz w:val="30"/>
          <w:szCs w:val="30"/>
          <w:lang w:eastAsia="zh-CN"/>
        </w:rPr>
        <w:t>区内</w:t>
      </w:r>
      <w:r>
        <w:rPr>
          <w:rFonts w:hint="eastAsia" w:ascii="仿宋" w:hAnsi="仿宋" w:eastAsia="仿宋" w:cs="宋体"/>
          <w:color w:val="000000"/>
          <w:kern w:val="0"/>
          <w:sz w:val="30"/>
          <w:szCs w:val="30"/>
        </w:rPr>
        <w:t>建筑限高最高等级。</w:t>
      </w:r>
    </w:p>
    <w:p>
      <w:pPr>
        <w:widowControl/>
        <w:shd w:val="clear" w:color="auto" w:fill="FFFFFF"/>
        <w:spacing w:line="520" w:lineRule="atLeast"/>
        <w:ind w:firstLine="567"/>
        <w:rPr>
          <w:rFonts w:ascii="等线" w:hAnsi="等线" w:eastAsia="等线" w:cs="宋体"/>
          <w:color w:val="222222"/>
          <w:kern w:val="0"/>
          <w:szCs w:val="21"/>
        </w:rPr>
      </w:pPr>
    </w:p>
    <w:p>
      <w:pPr>
        <w:widowControl/>
        <w:shd w:val="clear" w:color="auto" w:fill="FFFFFF"/>
        <w:spacing w:line="480" w:lineRule="auto"/>
        <w:ind w:left="851" w:hanging="851"/>
        <w:jc w:val="left"/>
        <w:rPr>
          <w:rFonts w:ascii="等线" w:hAnsi="等线" w:eastAsia="等线" w:cs="宋体"/>
          <w:color w:val="222222"/>
          <w:kern w:val="0"/>
          <w:szCs w:val="21"/>
        </w:rPr>
      </w:pPr>
      <w:r>
        <w:rPr>
          <w:rFonts w:hint="eastAsia" w:ascii="仿宋" w:hAnsi="仿宋" w:eastAsia="仿宋" w:cs="宋体"/>
          <w:b/>
          <w:bCs/>
          <w:color w:val="000000"/>
          <w:kern w:val="0"/>
          <w:sz w:val="28"/>
          <w:szCs w:val="28"/>
        </w:rPr>
        <w:t>（二）</w:t>
      </w:r>
      <w:r>
        <w:rPr>
          <w:rFonts w:ascii="Times New Roman" w:hAnsi="Times New Roman" w:eastAsia="仿宋" w:cs="Times New Roman"/>
          <w:b/>
          <w:bCs/>
          <w:color w:val="000000"/>
          <w:kern w:val="0"/>
          <w:sz w:val="14"/>
          <w:szCs w:val="14"/>
        </w:rPr>
        <w:t xml:space="preserve">    </w:t>
      </w:r>
      <w:r>
        <w:rPr>
          <w:rFonts w:hint="eastAsia" w:ascii="仿宋" w:hAnsi="仿宋" w:eastAsia="仿宋" w:cs="宋体"/>
          <w:b/>
          <w:bCs/>
          <w:color w:val="000000"/>
          <w:kern w:val="0"/>
          <w:sz w:val="28"/>
          <w:szCs w:val="28"/>
        </w:rPr>
        <w:t>开发强度控制</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在满足国家和地方有关法律法规和技术规定的基础上，根据《三亚市城市规划管理技术规定》有关规定和地区发展要求，参考国内类似城市经验，在综合考虑地块的用地性质、区位条件、生态环境保护和城市设计总体控制要求等因素基础上，综合确定规划地块的开发强度指标。本次规划用地开发强度的控制考虑用地功能和城市空间设计要求两个因素进行确定，采用弹性指标进行控制，鼓励对</w:t>
      </w:r>
      <w:r>
        <w:rPr>
          <w:rFonts w:hint="eastAsia" w:ascii="仿宋" w:hAnsi="仿宋" w:eastAsia="仿宋" w:cs="宋体"/>
          <w:color w:val="222222"/>
          <w:kern w:val="0"/>
          <w:sz w:val="30"/>
          <w:szCs w:val="30"/>
          <w:lang w:eastAsia="zh-CN"/>
        </w:rPr>
        <w:t>营</w:t>
      </w:r>
      <w:r>
        <w:rPr>
          <w:rFonts w:hint="eastAsia" w:ascii="仿宋" w:hAnsi="仿宋" w:eastAsia="仿宋" w:cs="宋体"/>
          <w:color w:val="222222"/>
          <w:kern w:val="0"/>
          <w:sz w:val="30"/>
          <w:szCs w:val="30"/>
        </w:rPr>
        <w:t>利性公共服务设施（B类）容积率弹性控制，在合理的区间内可进行上下浮动，如实际指标上浮的，严格遵循国土资源部出台的《国有建设用地使用权出让地价评估技术规范（试行）》（国土资厅发〔2013〕20号）有关规定实施。</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本规划区内的地块容积率划分为5个开发强度等级，考虑到片区发展定位，宜进行中等强度开发，容积率整体控制在2.5及以下。</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1.I类开发强度等级</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容积率为1.0及以下。主要为规划区公共服务设施用地、商业混合用地和市政设施用地。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2.II类开发强度等级</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容积率为1.0-1.5。主要为规划区的居住用地、居住商业混合用地和北部组团大部分其他商务设施用地。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3.III类开发强度等级</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容积率为1.5-2.0。主要为西北组团中大部分其他商务设施用地。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4.IV类开发强度等级</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容积率为2.0-2.5。主要为规划核心区商业混合用地和南侧商住混合用地。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5.V类开发强度等级</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容积率为2.5以上。主要为规划核心区商业混合用地、东北侧现状用地和南侧商住混合用地。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规划公共绿地在严格控制开发建设的同时也应当允许建设</w:t>
      </w:r>
      <w:r>
        <w:rPr>
          <w:rFonts w:hint="eastAsia" w:ascii="仿宋" w:hAnsi="仿宋" w:eastAsia="仿宋" w:cs="宋体"/>
          <w:color w:val="auto"/>
          <w:kern w:val="0"/>
          <w:sz w:val="30"/>
          <w:szCs w:val="30"/>
          <w:shd w:val="clear" w:color="auto" w:fill="auto"/>
        </w:rPr>
        <w:t>少量</w:t>
      </w:r>
      <w:r>
        <w:rPr>
          <w:rFonts w:hint="eastAsia" w:ascii="仿宋" w:hAnsi="仿宋" w:eastAsia="仿宋" w:cs="宋体"/>
          <w:color w:val="222222"/>
          <w:kern w:val="0"/>
          <w:sz w:val="30"/>
          <w:szCs w:val="30"/>
        </w:rPr>
        <w:t>的服务设施和管理设施，其中新建建筑占地面积不得大于绿地总面积的5%；此外，广场和停车场用地的容积率要求也应结合具体情况分别另行确定。</w:t>
      </w:r>
    </w:p>
    <w:p>
      <w:pPr>
        <w:ind w:firstLine="643" w:firstLineChars="200"/>
        <w:rPr>
          <w:rFonts w:ascii="仿宋" w:hAnsi="仿宋" w:eastAsia="仿宋" w:cs="宋体"/>
          <w:b/>
          <w:bCs/>
          <w:color w:val="222222"/>
          <w:kern w:val="0"/>
          <w:sz w:val="32"/>
          <w:szCs w:val="32"/>
        </w:rPr>
      </w:pPr>
      <w:r>
        <w:rPr>
          <w:rFonts w:hint="eastAsia" w:ascii="仿宋" w:hAnsi="仿宋" w:eastAsia="仿宋" w:cs="宋体"/>
          <w:b/>
          <w:bCs/>
          <w:color w:val="222222"/>
          <w:kern w:val="0"/>
          <w:sz w:val="32"/>
          <w:szCs w:val="32"/>
        </w:rPr>
        <w:t>七、 道路交通系统</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道路与交通设施用地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规划道路与交通设施用地62.58公顷，占城市建设用地的18.12%。</w:t>
      </w:r>
    </w:p>
    <w:p>
      <w:pPr>
        <w:ind w:firstLine="600" w:firstLineChars="200"/>
        <w:rPr>
          <w:rFonts w:hint="eastAsia" w:ascii="仿宋" w:hAnsi="仿宋" w:eastAsia="仿宋" w:cs="宋体"/>
          <w:color w:val="222222"/>
          <w:kern w:val="0"/>
          <w:sz w:val="30"/>
          <w:szCs w:val="30"/>
        </w:rPr>
      </w:pPr>
      <w:r>
        <w:rPr>
          <w:rFonts w:hint="eastAsia" w:ascii="仿宋" w:hAnsi="仿宋" w:eastAsia="仿宋" w:cs="宋体"/>
          <w:color w:val="222222"/>
          <w:kern w:val="0"/>
          <w:sz w:val="30"/>
          <w:szCs w:val="30"/>
        </w:rPr>
        <w:t>规划道路与交通设施用地包括城市道路用地、交通枢纽用地、交通场站用地和社会停车场用地。</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道路等级划分</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规划道路系统分为主干路、次干路、支路三级。园区主干道红线宽度为</w:t>
      </w:r>
      <w:r>
        <w:rPr>
          <w:rFonts w:hint="eastAsia" w:ascii="仿宋" w:hAnsi="仿宋" w:eastAsia="仿宋" w:cs="宋体"/>
          <w:color w:val="222222"/>
          <w:kern w:val="0"/>
          <w:sz w:val="30"/>
          <w:szCs w:val="30"/>
          <w:lang w:val="en-US" w:eastAsia="zh-CN"/>
        </w:rPr>
        <w:t>3</w:t>
      </w:r>
      <w:r>
        <w:rPr>
          <w:rFonts w:hint="eastAsia" w:ascii="仿宋" w:hAnsi="仿宋" w:eastAsia="仿宋" w:cs="宋体"/>
          <w:color w:val="222222"/>
          <w:kern w:val="0"/>
          <w:sz w:val="30"/>
          <w:szCs w:val="30"/>
        </w:rPr>
        <w:t>0-55米；次干道红线宽度为20米；支路红线宽度为14-20米。</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主干路是连接园区和周边城市片区的主要通道，道路机动车道与非机动车道之间应设置分隔设施，实行机、非分道行驶，两侧不应设置吸引大量车流、人流的公共建筑物的进出口。</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次干路主要连接园区内部各个组团，起集散交通作用，兼有服务功能。</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支路是次干路与街坊道路的连接道路，起到解决局部地区的交通作用，以服务功能为主，在</w:t>
      </w:r>
      <w:r>
        <w:rPr>
          <w:rFonts w:hint="eastAsia" w:ascii="仿宋" w:hAnsi="仿宋" w:eastAsia="仿宋" w:cs="宋体"/>
          <w:color w:val="222222"/>
          <w:kern w:val="0"/>
          <w:sz w:val="30"/>
          <w:szCs w:val="30"/>
          <w:lang w:eastAsia="zh-CN"/>
        </w:rPr>
        <w:t>新</w:t>
      </w:r>
      <w:r>
        <w:rPr>
          <w:rFonts w:hint="eastAsia" w:ascii="仿宋" w:hAnsi="仿宋" w:eastAsia="仿宋" w:cs="宋体"/>
          <w:color w:val="222222"/>
          <w:kern w:val="0"/>
          <w:sz w:val="30"/>
          <w:szCs w:val="30"/>
        </w:rPr>
        <w:t>园区交通中起通达作用。</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道路系统布局规划</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园区道路网主要以方格网结构为主，局部形成环状结构，整个区域主干路、次干路、支路既各成系统，又能协调兼顾，为区域发展提供较为顺畅、合理的交通联系网络。</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规划区域的路网结构依据区内现状地形地貌条件按方格网状布置，连接总体规划的道路交通规划，横向以吉阳大道及与其相平行的两条横向道路作为园区道路主骨架，形成“九横八纵”的道路布局。由于高架东环铁路的建设，园区道路合理避让桥墩；环岛高速至亚龙湾的快速路经过园区的吉阳大道北段两侧设置各设置6米宽辅道，避免园区车辆与过境车辆相互干扰。</w:t>
      </w:r>
    </w:p>
    <w:p>
      <w:pPr>
        <w:ind w:firstLine="600" w:firstLineChars="200"/>
        <w:rPr>
          <w:rFonts w:ascii="仿宋" w:hAnsi="仿宋" w:eastAsia="仿宋" w:cs="宋体"/>
          <w:color w:val="222222"/>
          <w:kern w:val="0"/>
          <w:sz w:val="30"/>
          <w:szCs w:val="30"/>
        </w:rPr>
      </w:pPr>
      <w:r>
        <w:rPr>
          <w:rFonts w:ascii="仿宋" w:hAnsi="仿宋" w:eastAsia="仿宋" w:cs="宋体"/>
          <w:color w:val="222222"/>
          <w:kern w:val="0"/>
          <w:sz w:val="30"/>
          <w:szCs w:val="30"/>
        </w:rPr>
        <w:drawing>
          <wp:inline distT="0" distB="0" distL="0" distR="0">
            <wp:extent cx="4587875" cy="3230245"/>
            <wp:effectExtent l="0" t="0" r="3175" b="8255"/>
            <wp:docPr id="6" name="图片 6" descr="C:\Users\lenovo\Desktop\14-道路交通系统规划图.jpg14-道路交通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14-道路交通系统规划图.jpg14-道路交通系统规划图"/>
                    <pic:cNvPicPr>
                      <a:picLocks noChangeAspect="1" noChangeArrowheads="1"/>
                    </pic:cNvPicPr>
                  </pic:nvPicPr>
                  <pic:blipFill>
                    <a:blip r:embed="rId9"/>
                    <a:srcRect l="4010" t="4347" r="4198" b="4224"/>
                    <a:stretch>
                      <a:fillRect/>
                    </a:stretch>
                  </pic:blipFill>
                  <pic:spPr>
                    <a:xfrm>
                      <a:off x="0" y="0"/>
                      <a:ext cx="4587875" cy="3230245"/>
                    </a:xfrm>
                    <a:prstGeom prst="rect">
                      <a:avLst/>
                    </a:prstGeom>
                    <a:noFill/>
                    <a:ln>
                      <a:noFill/>
                    </a:ln>
                  </pic:spPr>
                </pic:pic>
              </a:graphicData>
            </a:graphic>
          </wp:inline>
        </w:drawing>
      </w:r>
      <w:bookmarkStart w:id="0" w:name="_GoBack"/>
      <w:bookmarkEnd w:id="0"/>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道路红线宽度及横断面设计</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红线是道路的控制用地边界线，道路红线宽度的确定是根据规模、交通需求，并依据规范规定综合考虑，红线太宽会对土地资源利用造成浪费，红线太窄不利于远期交通发展要求。本次规划根据园区总体规划和园区用地情况，确定道路红线宽度及道路横断面设计。</w:t>
      </w:r>
    </w:p>
    <w:p>
      <w:pPr>
        <w:ind w:firstLine="600" w:firstLineChars="200"/>
        <w:rPr>
          <w:rFonts w:ascii="仿宋" w:hAnsi="仿宋" w:eastAsia="仿宋" w:cs="宋体"/>
          <w:color w:val="222222"/>
          <w:kern w:val="0"/>
          <w:sz w:val="30"/>
          <w:szCs w:val="30"/>
        </w:rPr>
      </w:pPr>
      <w:r>
        <w:rPr>
          <w:rFonts w:hint="eastAsia" w:ascii="仿宋" w:hAnsi="仿宋" w:eastAsia="仿宋" w:cs="宋体"/>
          <w:color w:val="222222"/>
          <w:kern w:val="0"/>
          <w:sz w:val="30"/>
          <w:szCs w:val="30"/>
        </w:rPr>
        <w:t>道路横断面设计情况如下图：</w:t>
      </w:r>
    </w:p>
    <w:p>
      <w:pPr>
        <w:jc w:val="center"/>
        <w:rPr>
          <w:rFonts w:ascii="宋体" w:hAnsi="宋体" w:cs="宋体"/>
          <w:b/>
          <w:sz w:val="24"/>
          <w:szCs w:val="24"/>
        </w:rPr>
      </w:pPr>
      <w:r>
        <w:rPr>
          <w:rFonts w:hint="eastAsia" w:ascii="宋体" w:hAnsi="宋体" w:cs="宋体"/>
          <w:b/>
          <w:sz w:val="24"/>
          <w:szCs w:val="24"/>
        </w:rPr>
        <w:t>道路横断面设计一览表</w:t>
      </w:r>
    </w:p>
    <w:p>
      <w:pPr>
        <w:ind w:firstLine="630" w:firstLineChars="300"/>
        <w:jc w:val="center"/>
        <w:rPr>
          <w:rFonts w:ascii="仿宋" w:hAnsi="仿宋" w:eastAsia="仿宋" w:cs="宋体"/>
          <w:color w:val="222222"/>
          <w:kern w:val="0"/>
          <w:sz w:val="30"/>
          <w:szCs w:val="30"/>
        </w:rPr>
      </w:pPr>
      <w:r>
        <w:drawing>
          <wp:inline distT="0" distB="0" distL="0" distR="0">
            <wp:extent cx="5274310" cy="34048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3405104"/>
                    </a:xfrm>
                    <a:prstGeom prst="rect">
                      <a:avLst/>
                    </a:prstGeom>
                  </pic:spPr>
                </pic:pic>
              </a:graphicData>
            </a:graphic>
          </wp:inline>
        </w:drawing>
      </w:r>
    </w:p>
    <w:p>
      <w:pPr>
        <w:ind w:firstLine="600" w:firstLineChars="200"/>
        <w:rPr>
          <w:rFonts w:ascii="仿宋" w:hAnsi="仿宋" w:eastAsia="仿宋" w:cs="宋体"/>
          <w:color w:val="222222"/>
          <w:kern w:val="0"/>
          <w:sz w:val="30"/>
          <w:szCs w:val="30"/>
        </w:rPr>
      </w:pPr>
      <w:r>
        <w:rPr>
          <w:rFonts w:ascii="仿宋" w:hAnsi="仿宋" w:eastAsia="仿宋" w:cs="宋体"/>
          <w:color w:val="222222"/>
          <w:kern w:val="0"/>
          <w:sz w:val="30"/>
          <w:szCs w:val="30"/>
        </w:rPr>
        <w:drawing>
          <wp:anchor distT="0" distB="0" distL="0" distR="0" simplePos="0" relativeHeight="251659264" behindDoc="1" locked="0" layoutInCell="1" allowOverlap="1">
            <wp:simplePos x="0" y="0"/>
            <wp:positionH relativeFrom="column">
              <wp:posOffset>443865</wp:posOffset>
            </wp:positionH>
            <wp:positionV relativeFrom="paragraph">
              <wp:posOffset>7620</wp:posOffset>
            </wp:positionV>
            <wp:extent cx="5049520" cy="3578860"/>
            <wp:effectExtent l="0" t="0" r="0" b="2540"/>
            <wp:wrapTight wrapText="bothSides">
              <wp:wrapPolygon>
                <wp:start x="0" y="0"/>
                <wp:lineTo x="0" y="21500"/>
                <wp:lineTo x="21513" y="21500"/>
                <wp:lineTo x="21513" y="0"/>
                <wp:lineTo x="0" y="0"/>
              </wp:wrapPolygon>
            </wp:wrapTight>
            <wp:docPr id="7" name="图片 7" descr="F:\2017\控规修编\成果\高新互联网信息产业园控规修编成果2020311\成果0430\图集\15 道路断面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017\控规修编\成果\高新互联网信息产业园控规修编成果2020311\成果0430\图集\15 道路断面规划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l="5695" t="5861" r="6218" b="5785"/>
                    <a:stretch>
                      <a:fillRect/>
                    </a:stretch>
                  </pic:blipFill>
                  <pic:spPr>
                    <a:xfrm>
                      <a:off x="0" y="0"/>
                      <a:ext cx="5093904" cy="3610677"/>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8FF"/>
    <w:rsid w:val="0007097A"/>
    <w:rsid w:val="00073023"/>
    <w:rsid w:val="00167652"/>
    <w:rsid w:val="001B410C"/>
    <w:rsid w:val="0020433F"/>
    <w:rsid w:val="002E5601"/>
    <w:rsid w:val="002F58FF"/>
    <w:rsid w:val="003231E0"/>
    <w:rsid w:val="00330FAB"/>
    <w:rsid w:val="00511112"/>
    <w:rsid w:val="00672CD6"/>
    <w:rsid w:val="007B3E8A"/>
    <w:rsid w:val="008A3FE7"/>
    <w:rsid w:val="00986602"/>
    <w:rsid w:val="00A2042C"/>
    <w:rsid w:val="00A84508"/>
    <w:rsid w:val="00AA6A21"/>
    <w:rsid w:val="00B31A83"/>
    <w:rsid w:val="00CB7EA0"/>
    <w:rsid w:val="00E01A2F"/>
    <w:rsid w:val="00F070D8"/>
    <w:rsid w:val="00F12351"/>
    <w:rsid w:val="00F56650"/>
    <w:rsid w:val="01115713"/>
    <w:rsid w:val="01ED58A5"/>
    <w:rsid w:val="0C60641D"/>
    <w:rsid w:val="0EF864D7"/>
    <w:rsid w:val="16797779"/>
    <w:rsid w:val="195E6CB4"/>
    <w:rsid w:val="25BB5988"/>
    <w:rsid w:val="274227C8"/>
    <w:rsid w:val="297765AC"/>
    <w:rsid w:val="316669F1"/>
    <w:rsid w:val="3DE1456B"/>
    <w:rsid w:val="48661FE6"/>
    <w:rsid w:val="49A20C19"/>
    <w:rsid w:val="4B03524C"/>
    <w:rsid w:val="5DD83D9C"/>
    <w:rsid w:val="713907CD"/>
    <w:rsid w:val="73BE7709"/>
    <w:rsid w:val="7444051F"/>
    <w:rsid w:val="75DB7231"/>
    <w:rsid w:val="76EB1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6">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1072</Words>
  <Characters>6116</Characters>
  <Lines>50</Lines>
  <Paragraphs>14</Paragraphs>
  <TotalTime>9</TotalTime>
  <ScaleCrop>false</ScaleCrop>
  <LinksUpToDate>false</LinksUpToDate>
  <CharactersWithSpaces>7174</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2020-06-04T08:02:00Z</dcterms:created>
  <dc:creator>Administrator</dc:creator>
  <cp:lastModifiedBy>林明科</cp:lastModifiedBy>
  <dcterms:modified xsi:type="dcterms:W3CDTF">2020-07-02T07:40:04Z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