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051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  <w:bookmarkStart w:id="0" w:name="_Hlk60619703"/>
      <w:bookmarkEnd w:id="0"/>
    </w:p>
    <w:p w14:paraId="72AA6115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0D5B64C8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063613C4" w14:textId="77777777" w:rsidR="00A87D1D" w:rsidRDefault="008D1EB2">
      <w:pPr>
        <w:ind w:left="360" w:hanging="360"/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三亚市总体规划（空间类</w:t>
      </w:r>
      <w:r>
        <w:rPr>
          <w:rFonts w:hint="eastAsia"/>
          <w:b/>
          <w:bCs/>
          <w:color w:val="000000" w:themeColor="text1"/>
          <w:sz w:val="40"/>
          <w:szCs w:val="40"/>
        </w:rPr>
        <w:t>2</w:t>
      </w:r>
      <w:r>
        <w:rPr>
          <w:b/>
          <w:bCs/>
          <w:color w:val="000000" w:themeColor="text1"/>
          <w:sz w:val="40"/>
          <w:szCs w:val="40"/>
        </w:rPr>
        <w:t>015</w:t>
      </w:r>
      <w:r>
        <w:rPr>
          <w:rFonts w:hint="eastAsia"/>
          <w:b/>
          <w:bCs/>
          <w:color w:val="000000" w:themeColor="text1"/>
          <w:sz w:val="40"/>
          <w:szCs w:val="40"/>
        </w:rPr>
        <w:t>-</w:t>
      </w:r>
      <w:r>
        <w:rPr>
          <w:b/>
          <w:bCs/>
          <w:color w:val="000000" w:themeColor="text1"/>
          <w:sz w:val="40"/>
          <w:szCs w:val="40"/>
        </w:rPr>
        <w:t>2030</w:t>
      </w:r>
      <w:r>
        <w:rPr>
          <w:rFonts w:hint="eastAsia"/>
          <w:b/>
          <w:bCs/>
          <w:color w:val="000000" w:themeColor="text1"/>
          <w:sz w:val="40"/>
          <w:szCs w:val="40"/>
        </w:rPr>
        <w:t>）</w:t>
      </w:r>
    </w:p>
    <w:p w14:paraId="63A10823" w14:textId="77777777" w:rsidR="00A87D1D" w:rsidRDefault="008D1EB2">
      <w:pPr>
        <w:ind w:left="360" w:hanging="360"/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调整方案说明</w:t>
      </w:r>
    </w:p>
    <w:p w14:paraId="33C220ED" w14:textId="77777777" w:rsidR="00A87D1D" w:rsidRDefault="008D1EB2">
      <w:pPr>
        <w:ind w:left="360" w:hanging="360"/>
        <w:jc w:val="center"/>
        <w:rPr>
          <w:b/>
          <w:bCs/>
          <w:color w:val="000000" w:themeColor="text1"/>
          <w:sz w:val="40"/>
          <w:szCs w:val="40"/>
        </w:rPr>
      </w:pPr>
      <w:r>
        <w:rPr>
          <w:rFonts w:hint="eastAsia"/>
          <w:b/>
          <w:bCs/>
          <w:color w:val="000000" w:themeColor="text1"/>
          <w:sz w:val="40"/>
          <w:szCs w:val="40"/>
        </w:rPr>
        <w:t>（三亚市农垦省级储备项目</w:t>
      </w:r>
      <w:r>
        <w:rPr>
          <w:rFonts w:hint="eastAsia"/>
          <w:b/>
          <w:bCs/>
          <w:color w:val="000000" w:themeColor="text1"/>
          <w:sz w:val="40"/>
          <w:szCs w:val="40"/>
        </w:rPr>
        <w:t>6</w:t>
      </w:r>
      <w:r>
        <w:rPr>
          <w:b/>
          <w:bCs/>
          <w:color w:val="000000" w:themeColor="text1"/>
          <w:sz w:val="40"/>
          <w:szCs w:val="40"/>
        </w:rPr>
        <w:t>10</w:t>
      </w:r>
      <w:r>
        <w:rPr>
          <w:rFonts w:hint="eastAsia"/>
          <w:b/>
          <w:bCs/>
          <w:color w:val="000000" w:themeColor="text1"/>
          <w:sz w:val="40"/>
          <w:szCs w:val="40"/>
        </w:rPr>
        <w:t>亩）</w:t>
      </w:r>
    </w:p>
    <w:p w14:paraId="3975E164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7A548321" w14:textId="77777777" w:rsidR="00A87D1D" w:rsidRDefault="008D1EB2">
      <w:pPr>
        <w:ind w:left="360" w:hanging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简本</w:t>
      </w:r>
    </w:p>
    <w:p w14:paraId="173785F9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481B5409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5B73A80C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7F02B8D6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2679D9D6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2BA6B664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35AFF764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3AB281BC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6D27CAEE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2AA11129" w14:textId="77777777" w:rsidR="00A87D1D" w:rsidRDefault="00A87D1D">
      <w:pPr>
        <w:ind w:left="360" w:hanging="360"/>
        <w:jc w:val="center"/>
        <w:rPr>
          <w:b/>
          <w:bCs/>
          <w:color w:val="000000" w:themeColor="text1"/>
          <w:sz w:val="36"/>
          <w:szCs w:val="36"/>
        </w:rPr>
      </w:pPr>
    </w:p>
    <w:p w14:paraId="001C1FC0" w14:textId="77777777" w:rsidR="00A87D1D" w:rsidRDefault="00A87D1D">
      <w:pPr>
        <w:rPr>
          <w:b/>
          <w:bCs/>
          <w:color w:val="000000" w:themeColor="text1"/>
          <w:sz w:val="40"/>
          <w:szCs w:val="40"/>
        </w:rPr>
      </w:pPr>
    </w:p>
    <w:p w14:paraId="51FAB1A9" w14:textId="77777777" w:rsidR="00A87D1D" w:rsidRDefault="008D1EB2">
      <w:pPr>
        <w:ind w:left="360" w:hanging="360"/>
        <w:jc w:val="center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三亚市人民政府</w:t>
      </w:r>
    </w:p>
    <w:p w14:paraId="197E80FB" w14:textId="77777777" w:rsidR="00A87D1D" w:rsidRDefault="008D1EB2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2</w:t>
      </w:r>
      <w:r>
        <w:rPr>
          <w:b/>
          <w:bCs/>
          <w:color w:val="000000" w:themeColor="text1"/>
          <w:sz w:val="32"/>
          <w:szCs w:val="32"/>
        </w:rPr>
        <w:t>022</w:t>
      </w:r>
      <w:r>
        <w:rPr>
          <w:rFonts w:hint="eastAsia"/>
          <w:b/>
          <w:bCs/>
          <w:color w:val="000000" w:themeColor="text1"/>
          <w:sz w:val="32"/>
          <w:szCs w:val="32"/>
        </w:rPr>
        <w:t>年</w:t>
      </w:r>
      <w:r>
        <w:rPr>
          <w:b/>
          <w:bCs/>
          <w:color w:val="000000" w:themeColor="text1"/>
          <w:sz w:val="32"/>
          <w:szCs w:val="32"/>
        </w:rPr>
        <w:t>4</w:t>
      </w:r>
      <w:r>
        <w:rPr>
          <w:rFonts w:hint="eastAsia"/>
          <w:b/>
          <w:bCs/>
          <w:color w:val="000000" w:themeColor="text1"/>
          <w:sz w:val="32"/>
          <w:szCs w:val="32"/>
        </w:rPr>
        <w:t>月</w:t>
      </w:r>
    </w:p>
    <w:p w14:paraId="2526E438" w14:textId="77777777" w:rsidR="00A87D1D" w:rsidRDefault="00A87D1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14:paraId="600DF350" w14:textId="77777777" w:rsidR="00A87D1D" w:rsidRDefault="008D1EB2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cs="宋体"/>
          <w:b/>
          <w:bCs/>
          <w:kern w:val="0"/>
          <w:sz w:val="28"/>
          <w:szCs w:val="28"/>
        </w:rPr>
      </w:pPr>
      <w:bookmarkStart w:id="1" w:name="_Toc101166406"/>
      <w:r>
        <w:rPr>
          <w:rFonts w:ascii="宋体" w:eastAsia="宋体" w:cs="宋体" w:hint="eastAsia"/>
          <w:b/>
          <w:bCs/>
          <w:kern w:val="0"/>
          <w:sz w:val="28"/>
          <w:szCs w:val="28"/>
        </w:rPr>
        <w:lastRenderedPageBreak/>
        <w:t>项目概况</w:t>
      </w:r>
      <w:bookmarkEnd w:id="1"/>
    </w:p>
    <w:p w14:paraId="123C1C08" w14:textId="088F489D" w:rsidR="00A87D1D" w:rsidRDefault="00D64D7D" w:rsidP="00D64D7D">
      <w:pPr>
        <w:spacing w:line="360" w:lineRule="exact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 w:rsidRPr="00D64D7D">
        <w:rPr>
          <w:rFonts w:ascii="宋体" w:eastAsia="宋体" w:cs="宋体" w:hint="eastAsia"/>
          <w:kern w:val="0"/>
          <w:sz w:val="28"/>
          <w:szCs w:val="28"/>
        </w:rPr>
        <w:t>本项目用地位于三亚市崖州区东部南滨南起步区范围内，距离崖州站</w:t>
      </w:r>
      <w:r w:rsidRPr="00D64D7D">
        <w:rPr>
          <w:rFonts w:ascii="宋体" w:eastAsia="宋体" w:cs="宋体"/>
          <w:kern w:val="0"/>
          <w:sz w:val="28"/>
          <w:szCs w:val="28"/>
        </w:rPr>
        <w:t>8.09公里，</w:t>
      </w:r>
      <w:r w:rsidRPr="00D64D7D">
        <w:rPr>
          <w:rFonts w:ascii="宋体" w:eastAsia="宋体" w:cs="宋体" w:hint="eastAsia"/>
          <w:kern w:val="0"/>
          <w:sz w:val="28"/>
          <w:szCs w:val="28"/>
        </w:rPr>
        <w:t>距离崖州湾科技城约</w:t>
      </w:r>
      <w:r w:rsidRPr="00D64D7D">
        <w:rPr>
          <w:rFonts w:ascii="宋体" w:eastAsia="宋体" w:cs="宋体"/>
          <w:kern w:val="0"/>
          <w:sz w:val="28"/>
          <w:szCs w:val="28"/>
        </w:rPr>
        <w:t>5.83公里</w:t>
      </w:r>
      <w:r w:rsidRPr="00D64D7D">
        <w:rPr>
          <w:rFonts w:ascii="宋体" w:eastAsia="宋体" w:cs="宋体" w:hint="eastAsia"/>
          <w:kern w:val="0"/>
          <w:sz w:val="28"/>
          <w:szCs w:val="28"/>
        </w:rPr>
        <w:t>，距离三亚市中心城区约</w:t>
      </w:r>
      <w:r w:rsidRPr="00D64D7D">
        <w:rPr>
          <w:rFonts w:ascii="宋体" w:eastAsia="宋体" w:cs="宋体"/>
          <w:kern w:val="0"/>
          <w:sz w:val="28"/>
          <w:szCs w:val="28"/>
        </w:rPr>
        <w:t>31公里</w:t>
      </w:r>
      <w:r w:rsidRPr="00D64D7D">
        <w:rPr>
          <w:rFonts w:ascii="宋体" w:eastAsia="宋体" w:cs="宋体" w:hint="eastAsia"/>
          <w:kern w:val="0"/>
          <w:sz w:val="28"/>
          <w:szCs w:val="28"/>
        </w:rPr>
        <w:t>，</w:t>
      </w:r>
      <w:r w:rsidR="008D1EB2">
        <w:rPr>
          <w:rFonts w:ascii="宋体" w:eastAsia="宋体" w:cs="宋体" w:hint="eastAsia"/>
          <w:kern w:val="0"/>
          <w:sz w:val="28"/>
          <w:szCs w:val="28"/>
        </w:rPr>
        <w:t>项</w:t>
      </w:r>
      <w:r w:rsidR="008D1EB2">
        <w:rPr>
          <w:rFonts w:ascii="宋体" w:eastAsia="宋体" w:cs="宋体" w:hint="eastAsia"/>
          <w:kern w:val="0"/>
          <w:sz w:val="28"/>
          <w:szCs w:val="28"/>
        </w:rPr>
        <w:t>目用地面积共</w:t>
      </w:r>
      <w:r w:rsidR="008D1EB2">
        <w:rPr>
          <w:rFonts w:ascii="宋体" w:eastAsia="宋体" w:cs="宋体"/>
          <w:kern w:val="0"/>
          <w:sz w:val="28"/>
          <w:szCs w:val="28"/>
        </w:rPr>
        <w:t>40.6921</w:t>
      </w:r>
      <w:r w:rsidR="008D1EB2">
        <w:rPr>
          <w:rFonts w:ascii="宋体" w:eastAsia="宋体" w:cs="宋体" w:hint="eastAsia"/>
          <w:kern w:val="0"/>
          <w:sz w:val="28"/>
          <w:szCs w:val="28"/>
        </w:rPr>
        <w:t>公顷。</w:t>
      </w:r>
    </w:p>
    <w:p w14:paraId="270C1BD3" w14:textId="77777777" w:rsidR="00A87D1D" w:rsidRDefault="008D1EB2">
      <w:pPr>
        <w:jc w:val="left"/>
        <w:rPr>
          <w:rFonts w:ascii="宋体" w:eastAsia="宋体" w:cs="宋体"/>
          <w:color w:val="FF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BF1E" wp14:editId="008FB24D">
                <wp:simplePos x="0" y="0"/>
                <wp:positionH relativeFrom="column">
                  <wp:posOffset>2252345</wp:posOffset>
                </wp:positionH>
                <wp:positionV relativeFrom="paragraph">
                  <wp:posOffset>1301115</wp:posOffset>
                </wp:positionV>
                <wp:extent cx="1621155" cy="285750"/>
                <wp:effectExtent l="6350" t="6350" r="67945" b="279400"/>
                <wp:wrapNone/>
                <wp:docPr id="14" name="对话气泡: 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285750"/>
                        </a:xfrm>
                        <a:prstGeom prst="wedgeRectCallout">
                          <a:avLst>
                            <a:gd name="adj1" fmla="val 51989"/>
                            <a:gd name="adj2" fmla="val 135789"/>
                          </a:avLst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B0F7A" w14:textId="77777777" w:rsidR="00A87D1D" w:rsidRDefault="008D1E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三亚市农垦省级储备项目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610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对话气泡: 矩形 14" o:spid="_x0000_s1026" o:spt="61" type="#_x0000_t61" style="position:absolute;left:0pt;margin-left:177.35pt;margin-top:102.45pt;height:22.5pt;width:127.65pt;z-index:251659264;v-text-anchor:middle;mso-width-relative:page;mso-height-relative:page;" fillcolor="#FFFFFF [3212]" filled="t" stroked="t" coordsize="21600,21600" o:gfxdata="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cB7j/3AAA&#10;AAsBAAAPAAAAAAAAAAEAIAAAACIAAABkcnMvZG93bnJldi54bWxQSwECFAAUAAAACACHTuJAf+Ya&#10;t8UCAACOBQAADgAAAAAAAAABACAAAAArAQAAZHJzL2Uyb0RvYy54bWxQSwUGAAAAAAYABgBZAQAA&#10;YgYAAAAA&#10;" adj="22030,40130">
                <v:fill on="t" opacity="39321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三亚市农垦省级储备项目</w:t>
                      </w:r>
                      <w:r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610亩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B7E3A1" wp14:editId="60A45F0B">
            <wp:extent cx="5273040" cy="3432810"/>
            <wp:effectExtent l="0" t="0" r="381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3318" b="23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3AFB" w14:textId="77777777" w:rsidR="00A87D1D" w:rsidRDefault="008D1EB2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位置示意图</w:t>
      </w:r>
    </w:p>
    <w:p w14:paraId="4FA7740B" w14:textId="77777777" w:rsidR="00A87D1D" w:rsidRDefault="008D1EB2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cs="宋体"/>
          <w:b/>
          <w:bCs/>
          <w:kern w:val="0"/>
          <w:sz w:val="28"/>
          <w:szCs w:val="28"/>
        </w:rPr>
      </w:pPr>
      <w:bookmarkStart w:id="2" w:name="_Toc101166408"/>
      <w:r>
        <w:rPr>
          <w:rFonts w:ascii="宋体" w:eastAsia="宋体" w:cs="宋体" w:hint="eastAsia"/>
          <w:b/>
          <w:bCs/>
          <w:kern w:val="0"/>
          <w:sz w:val="28"/>
          <w:szCs w:val="28"/>
        </w:rPr>
        <w:t>项目用地情况</w:t>
      </w:r>
      <w:bookmarkEnd w:id="2"/>
    </w:p>
    <w:p w14:paraId="661BA110" w14:textId="77777777" w:rsidR="00A87D1D" w:rsidRDefault="008D1EB2">
      <w:pPr>
        <w:spacing w:line="360" w:lineRule="exact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三亚市农垦省级储备项目的规划调整情况如下。</w:t>
      </w:r>
    </w:p>
    <w:p w14:paraId="4CFEBF33" w14:textId="77777777" w:rsidR="00A87D1D" w:rsidRDefault="008D1EB2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项目区规划地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类调整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0"/>
        <w:gridCol w:w="2229"/>
        <w:gridCol w:w="1605"/>
        <w:gridCol w:w="1917"/>
      </w:tblGrid>
      <w:tr w:rsidR="00A87D1D" w14:paraId="1C5109C2" w14:textId="77777777">
        <w:trPr>
          <w:trHeight w:val="706"/>
        </w:trPr>
        <w:tc>
          <w:tcPr>
            <w:tcW w:w="287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F9DFF1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调整前</w:t>
            </w:r>
          </w:p>
        </w:tc>
        <w:tc>
          <w:tcPr>
            <w:tcW w:w="21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110748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调整后</w:t>
            </w:r>
          </w:p>
        </w:tc>
      </w:tr>
      <w:tr w:rsidR="00A87D1D" w14:paraId="54D4B673" w14:textId="77777777">
        <w:trPr>
          <w:trHeight w:val="545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F01E95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规划地类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226D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面积：公顷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7FA9CF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规划地类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22791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面积：公顷</w:t>
            </w:r>
          </w:p>
        </w:tc>
      </w:tr>
      <w:tr w:rsidR="00A87D1D" w14:paraId="1A589288" w14:textId="77777777">
        <w:trPr>
          <w:trHeight w:val="55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82C45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Ⅳ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级保护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林地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752BE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25.5733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AE30A5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旅游建设用地</w:t>
            </w:r>
          </w:p>
        </w:tc>
        <w:tc>
          <w:tcPr>
            <w:tcW w:w="1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8CF9D0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40.6921</w:t>
            </w:r>
          </w:p>
        </w:tc>
      </w:tr>
      <w:tr w:rsidR="00A87D1D" w14:paraId="2B6BE99B" w14:textId="77777777">
        <w:trPr>
          <w:trHeight w:val="629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A2985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园地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7C368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15.1188</w:t>
            </w:r>
          </w:p>
        </w:tc>
        <w:tc>
          <w:tcPr>
            <w:tcW w:w="9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062CB" w14:textId="77777777" w:rsidR="00A87D1D" w:rsidRDefault="00A87D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CAE2CF" w14:textId="77777777" w:rsidR="00A87D1D" w:rsidRDefault="00A87D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A87D1D" w14:paraId="67B70489" w14:textId="77777777">
        <w:trPr>
          <w:trHeight w:val="704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EDA0F2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4423F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40.6921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AE5F07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057D9" w14:textId="77777777" w:rsidR="00A87D1D" w:rsidRDefault="008D1EB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40.6921</w:t>
            </w:r>
          </w:p>
        </w:tc>
      </w:tr>
    </w:tbl>
    <w:p w14:paraId="7335DA67" w14:textId="77777777" w:rsidR="00A87D1D" w:rsidRDefault="00A87D1D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74088B10" w14:textId="77777777" w:rsidR="00A87D1D" w:rsidRDefault="008D1EB2">
      <w:pPr>
        <w:rPr>
          <w:rFonts w:ascii="仿宋" w:eastAsia="仿宋" w:hAnsi="仿宋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DF203F" wp14:editId="36E4DA9E">
            <wp:extent cx="2571750" cy="1639570"/>
            <wp:effectExtent l="0" t="0" r="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eastAsia="宋体" w:cs="宋体"/>
          <w:noProof/>
          <w:sz w:val="28"/>
          <w:szCs w:val="28"/>
        </w:rPr>
        <w:drawing>
          <wp:inline distT="0" distB="0" distL="0" distR="0" wp14:anchorId="04A3AF0D" wp14:editId="167F3C6C">
            <wp:extent cx="2560955" cy="1638300"/>
            <wp:effectExtent l="0" t="0" r="10795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E984" w14:textId="77777777" w:rsidR="00A87D1D" w:rsidRDefault="008D1EB2">
      <w:pPr>
        <w:ind w:firstLineChars="200" w:firstLine="482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项目区调整前规划地类情况图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</w:t>
      </w:r>
      <w:r>
        <w:rPr>
          <w:rFonts w:ascii="仿宋" w:eastAsia="仿宋" w:hAnsi="仿宋" w:hint="eastAsia"/>
          <w:b/>
          <w:bCs/>
          <w:sz w:val="24"/>
          <w:szCs w:val="24"/>
        </w:rPr>
        <w:t>项目区调整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后规划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地类情况图</w:t>
      </w:r>
    </w:p>
    <w:p w14:paraId="57CA1470" w14:textId="77777777" w:rsidR="00A87D1D" w:rsidRDefault="00A87D1D">
      <w:pPr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14:paraId="7E7F0252" w14:textId="77777777" w:rsidR="00A87D1D" w:rsidRDefault="008D1EB2">
      <w:pPr>
        <w:spacing w:line="360" w:lineRule="exact"/>
        <w:ind w:firstLineChars="200" w:firstLine="560"/>
        <w:rPr>
          <w:rFonts w:ascii="宋体" w:eastAsia="宋体" w:cs="宋体"/>
          <w:kern w:val="0"/>
          <w:sz w:val="28"/>
          <w:szCs w:val="28"/>
        </w:rPr>
      </w:pPr>
      <w:bookmarkStart w:id="3" w:name="_Hlk101434769"/>
      <w:r>
        <w:rPr>
          <w:rFonts w:ascii="宋体" w:eastAsia="宋体" w:cs="宋体" w:hint="eastAsia"/>
          <w:sz w:val="28"/>
          <w:szCs w:val="28"/>
        </w:rPr>
        <w:t>计划从亚</w:t>
      </w:r>
      <w:proofErr w:type="gramStart"/>
      <w:r>
        <w:rPr>
          <w:rFonts w:ascii="宋体" w:eastAsia="宋体" w:cs="宋体" w:hint="eastAsia"/>
          <w:sz w:val="28"/>
          <w:szCs w:val="28"/>
        </w:rPr>
        <w:t>龙湾红峡谷</w:t>
      </w:r>
      <w:proofErr w:type="gramEnd"/>
      <w:r>
        <w:rPr>
          <w:rFonts w:ascii="宋体" w:eastAsia="宋体" w:cs="宋体" w:hint="eastAsia"/>
          <w:sz w:val="28"/>
          <w:szCs w:val="28"/>
        </w:rPr>
        <w:t>高尔夫球场核减多</w:t>
      </w:r>
      <w:proofErr w:type="gramStart"/>
      <w:r>
        <w:rPr>
          <w:rFonts w:ascii="宋体" w:eastAsia="宋体" w:cs="宋体" w:hint="eastAsia"/>
          <w:sz w:val="28"/>
          <w:szCs w:val="28"/>
        </w:rPr>
        <w:t>规</w:t>
      </w:r>
      <w:proofErr w:type="gramEnd"/>
      <w:r>
        <w:rPr>
          <w:rFonts w:ascii="宋体" w:eastAsia="宋体" w:cs="宋体" w:hint="eastAsia"/>
          <w:sz w:val="28"/>
          <w:szCs w:val="28"/>
        </w:rPr>
        <w:t>建设用地</w:t>
      </w:r>
      <w:bookmarkEnd w:id="3"/>
      <w:r>
        <w:rPr>
          <w:rFonts w:ascii="宋体" w:eastAsia="宋体" w:cs="宋体" w:hint="eastAsia"/>
          <w:sz w:val="28"/>
          <w:szCs w:val="28"/>
        </w:rPr>
        <w:t>核减</w:t>
      </w:r>
      <w:r>
        <w:rPr>
          <w:rFonts w:ascii="宋体" w:eastAsia="宋体" w:cs="宋体"/>
          <w:sz w:val="28"/>
          <w:szCs w:val="28"/>
        </w:rPr>
        <w:t>40.6921</w:t>
      </w:r>
      <w:r>
        <w:rPr>
          <w:rFonts w:ascii="宋体" w:eastAsia="宋体" w:cs="宋体" w:hint="eastAsia"/>
          <w:sz w:val="28"/>
          <w:szCs w:val="28"/>
        </w:rPr>
        <w:t>公顷旅游建设用地</w:t>
      </w:r>
      <w:r>
        <w:rPr>
          <w:rFonts w:ascii="宋体" w:eastAsia="宋体" w:cs="宋体" w:hint="eastAsia"/>
          <w:kern w:val="0"/>
          <w:sz w:val="28"/>
          <w:szCs w:val="28"/>
        </w:rPr>
        <w:t>，</w:t>
      </w:r>
      <w:r>
        <w:rPr>
          <w:rFonts w:ascii="宋体" w:eastAsia="宋体" w:cs="宋体" w:hint="eastAsia"/>
          <w:sz w:val="28"/>
          <w:szCs w:val="28"/>
        </w:rPr>
        <w:t>未来实现蓝图建设用地总规模不变</w:t>
      </w:r>
      <w:r>
        <w:rPr>
          <w:rFonts w:ascii="宋体" w:eastAsia="宋体" w:cs="宋体" w:hint="eastAsia"/>
          <w:kern w:val="0"/>
          <w:sz w:val="28"/>
          <w:szCs w:val="28"/>
        </w:rPr>
        <w:t>。</w:t>
      </w:r>
    </w:p>
    <w:p w14:paraId="69890ABC" w14:textId="77777777" w:rsidR="00A87D1D" w:rsidRDefault="008D1EB2">
      <w:pPr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eastAsia="宋体" w:cs="宋体"/>
          <w:b/>
          <w:bCs/>
          <w:noProof/>
          <w:sz w:val="28"/>
          <w:szCs w:val="28"/>
        </w:rPr>
        <w:drawing>
          <wp:inline distT="0" distB="0" distL="0" distR="0" wp14:anchorId="2A3DC5A4" wp14:editId="1ED3E638">
            <wp:extent cx="5274310" cy="3182620"/>
            <wp:effectExtent l="0" t="0" r="2540" b="1778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b="339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31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AD61" w14:textId="77777777" w:rsidR="00A87D1D" w:rsidRDefault="008D1EB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核减建设用地范围</w:t>
      </w:r>
    </w:p>
    <w:p w14:paraId="0FA14F56" w14:textId="77777777" w:rsidR="00A87D1D" w:rsidRDefault="00A87D1D">
      <w:pPr>
        <w:rPr>
          <w:rFonts w:ascii="仿宋" w:eastAsia="仿宋" w:hAnsi="仿宋"/>
          <w:b/>
          <w:bCs/>
          <w:sz w:val="24"/>
          <w:szCs w:val="24"/>
        </w:rPr>
      </w:pPr>
    </w:p>
    <w:p w14:paraId="3A6D5BB4" w14:textId="77777777" w:rsidR="00A87D1D" w:rsidRDefault="008D1EB2">
      <w:pPr>
        <w:pStyle w:val="a7"/>
        <w:numPr>
          <w:ilvl w:val="0"/>
          <w:numId w:val="1"/>
        </w:numPr>
        <w:ind w:firstLineChars="0"/>
        <w:outlineLvl w:val="0"/>
        <w:rPr>
          <w:rFonts w:ascii="宋体" w:eastAsia="宋体" w:cs="宋体"/>
          <w:b/>
          <w:bCs/>
          <w:kern w:val="0"/>
          <w:sz w:val="28"/>
          <w:szCs w:val="28"/>
        </w:rPr>
      </w:pPr>
      <w:bookmarkStart w:id="4" w:name="_Toc101166414"/>
      <w:r>
        <w:rPr>
          <w:rFonts w:ascii="宋体" w:eastAsia="宋体" w:cs="宋体" w:hint="eastAsia"/>
          <w:b/>
          <w:bCs/>
          <w:kern w:val="0"/>
          <w:sz w:val="28"/>
          <w:szCs w:val="28"/>
        </w:rPr>
        <w:t>林地补划方案</w:t>
      </w:r>
      <w:bookmarkEnd w:id="4"/>
    </w:p>
    <w:p w14:paraId="1063CA7B" w14:textId="77777777" w:rsidR="00A87D1D" w:rsidRDefault="008D1EB2">
      <w:pPr>
        <w:spacing w:line="360" w:lineRule="exact"/>
        <w:ind w:firstLineChars="200" w:firstLine="560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拟补划</w:t>
      </w:r>
      <w:r>
        <w:rPr>
          <w:rFonts w:ascii="宋体" w:eastAsia="宋体" w:cs="宋体" w:hint="eastAsia"/>
          <w:sz w:val="28"/>
          <w:szCs w:val="28"/>
        </w:rPr>
        <w:t>IV</w:t>
      </w:r>
      <w:proofErr w:type="gramStart"/>
      <w:r>
        <w:rPr>
          <w:rFonts w:ascii="宋体" w:eastAsia="宋体" w:cs="宋体" w:hint="eastAsia"/>
          <w:sz w:val="28"/>
          <w:szCs w:val="28"/>
        </w:rPr>
        <w:t>级保护</w:t>
      </w:r>
      <w:proofErr w:type="gramEnd"/>
      <w:r>
        <w:rPr>
          <w:rFonts w:ascii="宋体" w:eastAsia="宋体" w:cs="宋体" w:hint="eastAsia"/>
          <w:sz w:val="28"/>
          <w:szCs w:val="28"/>
        </w:rPr>
        <w:t>林地位于北部山区，面积</w:t>
      </w:r>
      <w:r>
        <w:rPr>
          <w:rFonts w:ascii="宋体" w:eastAsia="宋体" w:cs="宋体"/>
          <w:sz w:val="28"/>
          <w:szCs w:val="28"/>
        </w:rPr>
        <w:t>25.5733</w:t>
      </w:r>
      <w:r>
        <w:rPr>
          <w:rFonts w:ascii="宋体" w:eastAsia="宋体" w:cs="宋体" w:hint="eastAsia"/>
          <w:sz w:val="28"/>
          <w:szCs w:val="28"/>
        </w:rPr>
        <w:t>公顷。</w:t>
      </w:r>
    </w:p>
    <w:p w14:paraId="5F5B8C1A" w14:textId="77777777" w:rsidR="00A87D1D" w:rsidRDefault="008D1EB2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项目区补划林地规划地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类调整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前后情况表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139"/>
        <w:gridCol w:w="1544"/>
        <w:gridCol w:w="1690"/>
        <w:gridCol w:w="2921"/>
      </w:tblGrid>
      <w:tr w:rsidR="00A87D1D" w14:paraId="699B0DE4" w14:textId="77777777">
        <w:trPr>
          <w:trHeight w:val="285"/>
        </w:trPr>
        <w:tc>
          <w:tcPr>
            <w:tcW w:w="2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A9CDB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调整前</w:t>
            </w:r>
          </w:p>
        </w:tc>
        <w:tc>
          <w:tcPr>
            <w:tcW w:w="2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6E79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lang w:bidi="ar"/>
              </w:rPr>
              <w:t>调整后</w:t>
            </w:r>
          </w:p>
        </w:tc>
      </w:tr>
      <w:tr w:rsidR="00A87D1D" w14:paraId="1DD3A0C8" w14:textId="77777777">
        <w:trPr>
          <w:trHeight w:val="315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E048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规划地类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1F0C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面积：公顷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D0A0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规划地类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459F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 w:bidi="ar"/>
              </w:rPr>
              <w:t>面积：公顷</w:t>
            </w:r>
          </w:p>
        </w:tc>
      </w:tr>
      <w:tr w:rsidR="00A87D1D" w14:paraId="120C7CD1" w14:textId="77777777">
        <w:trPr>
          <w:trHeight w:val="285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DF16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园地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A454D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25.5733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93E9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IV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级保护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林地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0B90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25.5733</w:t>
            </w:r>
          </w:p>
        </w:tc>
      </w:tr>
      <w:tr w:rsidR="00A87D1D" w14:paraId="6604458E" w14:textId="77777777">
        <w:trPr>
          <w:trHeight w:val="315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07D1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7EA4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25.5733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4FBD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F0A9" w14:textId="77777777" w:rsidR="00A87D1D" w:rsidRDefault="008D1EB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Cs w:val="21"/>
                <w:lang w:bidi="ar"/>
              </w:rPr>
              <w:t>25.5733</w:t>
            </w:r>
          </w:p>
        </w:tc>
      </w:tr>
    </w:tbl>
    <w:p w14:paraId="4CED4156" w14:textId="77777777" w:rsidR="00A87D1D" w:rsidRDefault="00A87D1D">
      <w:pPr>
        <w:jc w:val="center"/>
      </w:pPr>
    </w:p>
    <w:p w14:paraId="44F05789" w14:textId="77777777" w:rsidR="00A87D1D" w:rsidRDefault="008D1EB2">
      <w:pPr>
        <w:jc w:val="center"/>
      </w:pPr>
      <w:r>
        <w:rPr>
          <w:rFonts w:ascii="宋体" w:eastAsia="宋体" w:cs="宋体"/>
          <w:noProof/>
          <w:sz w:val="28"/>
          <w:szCs w:val="28"/>
        </w:rPr>
        <w:lastRenderedPageBreak/>
        <w:drawing>
          <wp:inline distT="0" distB="0" distL="0" distR="0" wp14:anchorId="4233AA51" wp14:editId="5319B333">
            <wp:extent cx="5274310" cy="2581275"/>
            <wp:effectExtent l="0" t="0" r="2540" b="952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rcRect t="6670" b="180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EDB2" w14:textId="77777777" w:rsidR="00A87D1D" w:rsidRDefault="008D1EB2">
      <w:pPr>
        <w:jc w:val="center"/>
        <w:rPr>
          <w:rFonts w:ascii="仿宋" w:eastAsia="仿宋" w:hAnsi="仿宋"/>
          <w:b/>
          <w:bCs/>
          <w:sz w:val="24"/>
          <w:szCs w:val="24"/>
        </w:rPr>
      </w:pPr>
      <w:bookmarkStart w:id="5" w:name="_Toc101166415"/>
      <w:r>
        <w:rPr>
          <w:rFonts w:ascii="仿宋" w:eastAsia="仿宋" w:hAnsi="仿宋" w:hint="eastAsia"/>
          <w:b/>
          <w:bCs/>
          <w:sz w:val="24"/>
          <w:szCs w:val="24"/>
        </w:rPr>
        <w:t>补划</w:t>
      </w:r>
      <w:bookmarkStart w:id="6" w:name="_Hlk80711918"/>
      <w:r>
        <w:rPr>
          <w:rFonts w:ascii="仿宋" w:eastAsia="仿宋" w:hAnsi="仿宋"/>
          <w:b/>
          <w:bCs/>
          <w:sz w:val="24"/>
          <w:szCs w:val="24"/>
        </w:rPr>
        <w:t>IV</w:t>
      </w:r>
      <w:proofErr w:type="gramStart"/>
      <w:r>
        <w:rPr>
          <w:rFonts w:ascii="仿宋" w:eastAsia="仿宋" w:hAnsi="仿宋"/>
          <w:b/>
          <w:bCs/>
          <w:sz w:val="24"/>
          <w:szCs w:val="24"/>
        </w:rPr>
        <w:t>级保护</w:t>
      </w:r>
      <w:proofErr w:type="gramEnd"/>
      <w:r>
        <w:rPr>
          <w:rFonts w:ascii="仿宋" w:eastAsia="仿宋" w:hAnsi="仿宋"/>
          <w:b/>
          <w:bCs/>
          <w:sz w:val="24"/>
          <w:szCs w:val="24"/>
        </w:rPr>
        <w:t>林地</w:t>
      </w:r>
      <w:bookmarkEnd w:id="6"/>
      <w:r>
        <w:rPr>
          <w:rFonts w:ascii="仿宋" w:eastAsia="仿宋" w:hAnsi="仿宋" w:hint="eastAsia"/>
          <w:b/>
          <w:bCs/>
          <w:sz w:val="24"/>
          <w:szCs w:val="24"/>
        </w:rPr>
        <w:t>范围</w:t>
      </w:r>
    </w:p>
    <w:bookmarkEnd w:id="5"/>
    <w:p w14:paraId="625DB814" w14:textId="77777777" w:rsidR="00A87D1D" w:rsidRDefault="00A87D1D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sectPr w:rsidR="00A8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2921" w14:textId="77777777" w:rsidR="008D1EB2" w:rsidRDefault="008D1EB2" w:rsidP="00D64D7D">
      <w:r>
        <w:separator/>
      </w:r>
    </w:p>
  </w:endnote>
  <w:endnote w:type="continuationSeparator" w:id="0">
    <w:p w14:paraId="35036EE4" w14:textId="77777777" w:rsidR="008D1EB2" w:rsidRDefault="008D1EB2" w:rsidP="00D6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DE86" w14:textId="77777777" w:rsidR="008D1EB2" w:rsidRDefault="008D1EB2" w:rsidP="00D64D7D">
      <w:r>
        <w:separator/>
      </w:r>
    </w:p>
  </w:footnote>
  <w:footnote w:type="continuationSeparator" w:id="0">
    <w:p w14:paraId="6ED19BE5" w14:textId="77777777" w:rsidR="008D1EB2" w:rsidRDefault="008D1EB2" w:rsidP="00D6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1FC2"/>
    <w:multiLevelType w:val="multilevel"/>
    <w:tmpl w:val="5FF6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373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D4"/>
    <w:rsid w:val="00040D05"/>
    <w:rsid w:val="00071EA5"/>
    <w:rsid w:val="001047D4"/>
    <w:rsid w:val="00115BC0"/>
    <w:rsid w:val="00131143"/>
    <w:rsid w:val="001441C0"/>
    <w:rsid w:val="00154C92"/>
    <w:rsid w:val="00174B7D"/>
    <w:rsid w:val="002339B6"/>
    <w:rsid w:val="0032708D"/>
    <w:rsid w:val="003648AC"/>
    <w:rsid w:val="00372808"/>
    <w:rsid w:val="00406CA8"/>
    <w:rsid w:val="004375D1"/>
    <w:rsid w:val="004A2714"/>
    <w:rsid w:val="00583768"/>
    <w:rsid w:val="0060315C"/>
    <w:rsid w:val="006B64BB"/>
    <w:rsid w:val="006E67A4"/>
    <w:rsid w:val="007203EE"/>
    <w:rsid w:val="007D3B5C"/>
    <w:rsid w:val="0089641D"/>
    <w:rsid w:val="008D1EB2"/>
    <w:rsid w:val="00900E22"/>
    <w:rsid w:val="0091609F"/>
    <w:rsid w:val="00927786"/>
    <w:rsid w:val="00944707"/>
    <w:rsid w:val="009C35DF"/>
    <w:rsid w:val="00A1156C"/>
    <w:rsid w:val="00A87D1D"/>
    <w:rsid w:val="00A87E3A"/>
    <w:rsid w:val="00AD2790"/>
    <w:rsid w:val="00B14366"/>
    <w:rsid w:val="00B94922"/>
    <w:rsid w:val="00BC3F45"/>
    <w:rsid w:val="00BC593C"/>
    <w:rsid w:val="00C17601"/>
    <w:rsid w:val="00C25610"/>
    <w:rsid w:val="00CD5495"/>
    <w:rsid w:val="00D26FEA"/>
    <w:rsid w:val="00D3729D"/>
    <w:rsid w:val="00D45918"/>
    <w:rsid w:val="00D51791"/>
    <w:rsid w:val="00D549DE"/>
    <w:rsid w:val="00D64D7D"/>
    <w:rsid w:val="00D7123C"/>
    <w:rsid w:val="00D93C5C"/>
    <w:rsid w:val="00D97ACF"/>
    <w:rsid w:val="00DF56C2"/>
    <w:rsid w:val="00E2671E"/>
    <w:rsid w:val="00EC7F84"/>
    <w:rsid w:val="00FA7C8B"/>
    <w:rsid w:val="00FA7E83"/>
    <w:rsid w:val="00FB23F7"/>
    <w:rsid w:val="00FD4965"/>
    <w:rsid w:val="138334DF"/>
    <w:rsid w:val="158E68F9"/>
    <w:rsid w:val="23AA3596"/>
    <w:rsid w:val="3CB23005"/>
    <w:rsid w:val="421768A7"/>
    <w:rsid w:val="4C6B000D"/>
    <w:rsid w:val="69E9077B"/>
    <w:rsid w:val="78FD514F"/>
    <w:rsid w:val="7FC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5CA089"/>
  <w15:docId w15:val="{0E0E1D38-1505-4EA6-9CDD-176900A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C6A746-98BF-468A-BC47-8068AFB9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黎夕</dc:creator>
  <cp:lastModifiedBy>石 文华</cp:lastModifiedBy>
  <cp:revision>8</cp:revision>
  <dcterms:created xsi:type="dcterms:W3CDTF">2022-04-20T08:01:00Z</dcterms:created>
  <dcterms:modified xsi:type="dcterms:W3CDTF">2022-04-22T09:33:00Z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1B198186821D41B3B992A552AD0E78D6</vt:lpwstr>
  </property>
</Properties>
</file>